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F47F" w14:textId="42783D11" w:rsidR="000A07AB" w:rsidRPr="00E36F2C" w:rsidRDefault="000A07AB" w:rsidP="000A07AB">
      <w:pPr>
        <w:spacing w:before="125" w:after="0" w:line="276" w:lineRule="exact"/>
        <w:jc w:val="center"/>
        <w:rPr>
          <w:rFonts w:ascii="Arial" w:hAnsi="Arial" w:cs="Arial"/>
          <w:b/>
          <w:bCs/>
          <w:sz w:val="28"/>
          <w:szCs w:val="28"/>
          <w:lang w:val="es-CO"/>
        </w:rPr>
      </w:pPr>
      <w:bookmarkStart w:id="0" w:name="_Hlk101450201"/>
      <w:r w:rsidRPr="00E36F2C">
        <w:rPr>
          <w:rFonts w:ascii="Arial" w:hAnsi="Arial" w:cs="Arial"/>
          <w:b/>
          <w:bCs/>
          <w:sz w:val="28"/>
          <w:szCs w:val="28"/>
          <w:lang w:val="es-CO"/>
        </w:rPr>
        <w:t xml:space="preserve">INFORME DE AUSTERIDAD Y EFICIENCIA DEL GASTO PÚBLICO PARA EL PERIODO COMPRENDIDO </w:t>
      </w:r>
      <w:r>
        <w:rPr>
          <w:rFonts w:ascii="Arial" w:hAnsi="Arial" w:cs="Arial"/>
          <w:b/>
          <w:bCs/>
          <w:sz w:val="28"/>
          <w:szCs w:val="28"/>
          <w:lang w:val="es-CO"/>
        </w:rPr>
        <w:t>JULIO A SEPTIEMBRE</w:t>
      </w:r>
      <w:r w:rsidRPr="00E36F2C">
        <w:rPr>
          <w:rFonts w:ascii="Arial" w:hAnsi="Arial" w:cs="Arial"/>
          <w:b/>
          <w:bCs/>
          <w:sz w:val="28"/>
          <w:szCs w:val="28"/>
          <w:lang w:val="es-CO"/>
        </w:rPr>
        <w:t xml:space="preserve"> 2021 COMPARADO CON EL PERIODO COMPRENDIDO </w:t>
      </w:r>
      <w:r>
        <w:rPr>
          <w:rFonts w:ascii="Arial" w:hAnsi="Arial" w:cs="Arial"/>
          <w:b/>
          <w:bCs/>
          <w:sz w:val="28"/>
          <w:szCs w:val="28"/>
          <w:lang w:val="es-CO"/>
        </w:rPr>
        <w:t>JULIO A SEPTIEMBRE</w:t>
      </w:r>
      <w:r w:rsidRPr="00E36F2C">
        <w:rPr>
          <w:rFonts w:ascii="Arial" w:hAnsi="Arial" w:cs="Arial"/>
          <w:b/>
          <w:bCs/>
          <w:sz w:val="28"/>
          <w:szCs w:val="28"/>
          <w:lang w:val="es-CO"/>
        </w:rPr>
        <w:t xml:space="preserve"> 2020</w:t>
      </w:r>
    </w:p>
    <w:p w14:paraId="4FE09376" w14:textId="77777777" w:rsidR="000A07AB" w:rsidRPr="00E36F2C" w:rsidRDefault="000A07AB" w:rsidP="000A07AB">
      <w:pPr>
        <w:spacing w:before="125" w:after="0" w:line="276" w:lineRule="exact"/>
        <w:jc w:val="center"/>
        <w:rPr>
          <w:rFonts w:ascii="Arial" w:hAnsi="Arial" w:cs="Arial"/>
          <w:b/>
          <w:bCs/>
          <w:sz w:val="24"/>
          <w:szCs w:val="24"/>
          <w:lang w:val="es-CO"/>
        </w:rPr>
      </w:pPr>
    </w:p>
    <w:p w14:paraId="75860249" w14:textId="38E47A33" w:rsidR="000A07AB" w:rsidRPr="00E36F2C" w:rsidRDefault="000A07AB" w:rsidP="000A07AB">
      <w:pPr>
        <w:spacing w:before="125" w:after="0" w:line="276" w:lineRule="exact"/>
        <w:jc w:val="both"/>
        <w:rPr>
          <w:rFonts w:ascii="Arial" w:hAnsi="Arial" w:cs="Arial"/>
          <w:sz w:val="24"/>
          <w:szCs w:val="24"/>
          <w:lang w:val="es-CO"/>
        </w:rPr>
      </w:pPr>
      <w:r w:rsidRPr="00E36F2C">
        <w:rPr>
          <w:rFonts w:ascii="Arial" w:hAnsi="Arial" w:cs="Arial"/>
          <w:sz w:val="24"/>
          <w:szCs w:val="24"/>
          <w:lang w:val="es-CO"/>
        </w:rPr>
        <w:t xml:space="preserve"> El Establecimiento Público Ambiental Distrital “EPA Buenaventura”, cumpliendo con la normatividad vigente, ha venido presentando los correspondientes Informes de Austeridad en el Gasto, con el fin primordial, de verificar el cumplimiento de las directrices en materia de austeridad y eficiencia del gasto público en la Entidad de acuerdo con lo establecido en el artículo No. 22 de la Ley 1737 de 1998 (Modificado por el artículo No. 1 del decreto nacional 984 de 2012; la directiva presidencial 09 de 2018; el artículo No. 81 de la Ley 1940 de 2018, en lo relacionado con la austeridad del gasto; y, también, la demás legislación que regule sobre este particular. Por otra parte, el Grupo de Control Interno de Gestión, en cumplimiento de su rol de evaluación y seguimiento a las dependencias de la Agencia (conforme a lo señalado en el artículo No. 17 del decreto 648 de 2017; el artículo No. 01 del decreto 0984 de 2012 y demás normatividad que regula el ejercicio de control Interno como evaluador independiente), efectúa la verificación de la información consolidada por la subdirección administrativa y financiera en cabeza del área de presupuesto con el fin de proyectar el correspondiente informe. Así las cosas, La Oficina de Control Interno, dando cumplimiento al marco legal en materia de </w:t>
      </w:r>
      <w:r>
        <w:rPr>
          <w:rFonts w:ascii="Arial" w:hAnsi="Arial" w:cs="Arial"/>
          <w:sz w:val="24"/>
          <w:szCs w:val="24"/>
          <w:lang w:val="es-CO"/>
        </w:rPr>
        <w:t>a</w:t>
      </w:r>
      <w:r w:rsidRPr="00E36F2C">
        <w:rPr>
          <w:rFonts w:ascii="Arial" w:hAnsi="Arial" w:cs="Arial"/>
          <w:sz w:val="24"/>
          <w:szCs w:val="24"/>
          <w:lang w:val="es-CO"/>
        </w:rPr>
        <w:t xml:space="preserve">usteridad y </w:t>
      </w:r>
      <w:r>
        <w:rPr>
          <w:rFonts w:ascii="Arial" w:hAnsi="Arial" w:cs="Arial"/>
          <w:sz w:val="24"/>
          <w:szCs w:val="24"/>
          <w:lang w:val="es-CO"/>
        </w:rPr>
        <w:t>e</w:t>
      </w:r>
      <w:r w:rsidRPr="00E36F2C">
        <w:rPr>
          <w:rFonts w:ascii="Arial" w:hAnsi="Arial" w:cs="Arial"/>
          <w:sz w:val="24"/>
          <w:szCs w:val="24"/>
          <w:lang w:val="es-CO"/>
        </w:rPr>
        <w:t xml:space="preserve">ficiencia del gasto público y en atención a su rol de seguimiento y evaluación, presenta el siguiente informe para el periodo comprendido entre el 01 </w:t>
      </w:r>
      <w:r w:rsidR="009A70A6">
        <w:rPr>
          <w:rFonts w:ascii="Arial" w:hAnsi="Arial" w:cs="Arial"/>
          <w:sz w:val="24"/>
          <w:szCs w:val="24"/>
          <w:lang w:val="es-CO"/>
        </w:rPr>
        <w:t>julio al 30 de septiembre</w:t>
      </w:r>
      <w:r w:rsidRPr="00E36F2C">
        <w:rPr>
          <w:rFonts w:ascii="Arial" w:hAnsi="Arial" w:cs="Arial"/>
          <w:sz w:val="24"/>
          <w:szCs w:val="24"/>
          <w:lang w:val="es-CO"/>
        </w:rPr>
        <w:t xml:space="preserve"> de 2021, haciendo comparación con la información del mismo periodo para la vigencia 2020 dirigido a las personas y/o entidades interesadas en el tema. </w:t>
      </w:r>
    </w:p>
    <w:p w14:paraId="3112A45B"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t>MARCO LEGAL:</w:t>
      </w:r>
    </w:p>
    <w:p w14:paraId="3337F806" w14:textId="77777777" w:rsidR="000A07AB" w:rsidRPr="00E36F2C" w:rsidRDefault="000A07AB" w:rsidP="000A07AB">
      <w:pPr>
        <w:pStyle w:val="Prrafodelista"/>
        <w:spacing w:before="125" w:after="0" w:line="276" w:lineRule="exact"/>
        <w:jc w:val="both"/>
        <w:rPr>
          <w:rFonts w:ascii="Arial" w:hAnsi="Arial" w:cs="Arial"/>
          <w:b/>
          <w:bCs/>
          <w:sz w:val="24"/>
          <w:szCs w:val="24"/>
          <w:lang w:val="es-CO"/>
        </w:rPr>
      </w:pPr>
    </w:p>
    <w:p w14:paraId="0532C42B" w14:textId="77777777" w:rsidR="000A07AB" w:rsidRPr="00E36F2C" w:rsidRDefault="000A07AB" w:rsidP="000A07AB">
      <w:pPr>
        <w:spacing w:before="125" w:after="0" w:line="276" w:lineRule="exact"/>
        <w:ind w:left="360"/>
        <w:jc w:val="both"/>
        <w:rPr>
          <w:rFonts w:ascii="Arial" w:hAnsi="Arial" w:cs="Arial"/>
          <w:b/>
          <w:bCs/>
          <w:color w:val="000000"/>
          <w:sz w:val="24"/>
          <w:szCs w:val="24"/>
          <w:lang w:val="es-CO"/>
        </w:rPr>
      </w:pPr>
      <w:r w:rsidRPr="00E36F2C">
        <w:rPr>
          <w:rFonts w:ascii="Arial" w:hAnsi="Arial" w:cs="Arial"/>
          <w:sz w:val="24"/>
          <w:szCs w:val="24"/>
          <w:lang w:val="es-CO"/>
        </w:rPr>
        <w:t xml:space="preserve">El artículo 22 del Decreto 1737 del 21 de agosto de 1998, modificado por el Decreto 984 del 14 de mayo de 2012 dispone que quien haga las funciones de control interno en la entidad verificará el cumplimiento de las medidas de austeridad relacionadas con la administración de personal, gastos de viaje y viáticos, combustible, servicios públicos y telefonía, contratación de servicios personales, publicidad, publicaciones, las cuales son responsabilidad del Secretario General o quien haga sus veces. Así mismo con el fin de dar </w:t>
      </w:r>
      <w:r w:rsidRPr="00E36F2C">
        <w:rPr>
          <w:rFonts w:ascii="Arial" w:hAnsi="Arial" w:cs="Arial"/>
          <w:sz w:val="24"/>
          <w:szCs w:val="24"/>
          <w:lang w:val="es-CO"/>
        </w:rPr>
        <w:lastRenderedPageBreak/>
        <w:t xml:space="preserve">cumplimiento a las Directivas No. 06 de diciembre 12 de 2014 y No. 01 del 10 de febrero de 2016 sobre Plan de Austeridad y Directiva Presidencial 02 de 2015 “Buenas prácticas para el ahorro de energía y agua”. </w:t>
      </w:r>
    </w:p>
    <w:p w14:paraId="079C4BC3" w14:textId="77777777" w:rsidR="000A07AB" w:rsidRPr="00E36F2C" w:rsidRDefault="000A07AB" w:rsidP="000A07AB">
      <w:pPr>
        <w:spacing w:before="125" w:after="0" w:line="276" w:lineRule="exact"/>
        <w:jc w:val="both"/>
        <w:rPr>
          <w:rFonts w:ascii="Arial" w:hAnsi="Arial" w:cs="Arial"/>
          <w:b/>
          <w:bCs/>
          <w:sz w:val="24"/>
          <w:szCs w:val="24"/>
          <w:lang w:val="es-CO"/>
        </w:rPr>
      </w:pPr>
    </w:p>
    <w:p w14:paraId="12133CC7" w14:textId="77777777"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Decreto 26 de 1998. “Por el cual se dictan normas de austeridad en el gasto público”.</w:t>
      </w:r>
    </w:p>
    <w:p w14:paraId="070F55F8" w14:textId="79BED9A2"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Decreto 1737 de 1998. “Por el cual se expiden medidas de austeridad y eficiencia y se someten a condiciones especiales la asunción de compromisos por parte de las entidades públicas que manejan recursos del Tesoro Público.”</w:t>
      </w:r>
    </w:p>
    <w:p w14:paraId="7261BCFE" w14:textId="19E984A2"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Decreto 1738 de 1998. “Por el cual se dictan medidas para la debida recaudación y administración de las rentas y caudales públicos tendientes a reducir el gasto público.”</w:t>
      </w:r>
    </w:p>
    <w:p w14:paraId="2A9C5B6E" w14:textId="34CA1648"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 xml:space="preserve">Decreto 2209 de 1998. “Por el cual se modifican parcialmente los Decreto 1737 y 1738 del 21 de agosto de 1998”. </w:t>
      </w:r>
    </w:p>
    <w:p w14:paraId="4B6C47E1" w14:textId="484DBD42"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 xml:space="preserve">Decreto 2445 de 2000 “Por el cual se modifican los artículos 8, 12, 15 y 17 del Decreto 1737 de 1998”. </w:t>
      </w:r>
    </w:p>
    <w:p w14:paraId="140E5011" w14:textId="551E6123"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 xml:space="preserve">Decreto 2465 de 2000 “Por el cual se modifica el artículo 8º del Decreto 1737 de 1998". </w:t>
      </w:r>
    </w:p>
    <w:p w14:paraId="18F5DAE6" w14:textId="5E3EE54F" w:rsidR="00AC1460" w:rsidRPr="00075FD6" w:rsidRDefault="000A07AB" w:rsidP="00075FD6">
      <w:pPr>
        <w:pStyle w:val="Prrafodelista"/>
        <w:numPr>
          <w:ilvl w:val="0"/>
          <w:numId w:val="2"/>
        </w:numPr>
        <w:spacing w:before="125" w:after="0" w:line="276" w:lineRule="exact"/>
        <w:jc w:val="both"/>
        <w:rPr>
          <w:rFonts w:ascii="Arial" w:hAnsi="Arial" w:cs="Arial"/>
          <w:sz w:val="24"/>
          <w:szCs w:val="24"/>
          <w:lang w:val="es-CO"/>
        </w:rPr>
      </w:pPr>
      <w:r w:rsidRPr="00075FD6">
        <w:rPr>
          <w:rFonts w:ascii="Arial" w:hAnsi="Arial" w:cs="Arial"/>
          <w:sz w:val="24"/>
          <w:szCs w:val="24"/>
          <w:lang w:val="es-CO"/>
        </w:rPr>
        <w:t xml:space="preserve">Decreto 1598 de 2011 “Por el cual se modifica el artículo 15 del Decreto 1737 de 1998”. </w:t>
      </w:r>
    </w:p>
    <w:p w14:paraId="0422610A" w14:textId="26F32F45" w:rsidR="000A07AB" w:rsidRPr="00075FD6" w:rsidRDefault="000A07AB" w:rsidP="00075FD6">
      <w:pPr>
        <w:pStyle w:val="Prrafodelista"/>
        <w:numPr>
          <w:ilvl w:val="0"/>
          <w:numId w:val="2"/>
        </w:numPr>
        <w:spacing w:before="125" w:after="0" w:line="276" w:lineRule="exact"/>
        <w:jc w:val="both"/>
        <w:rPr>
          <w:rFonts w:ascii="Arial" w:hAnsi="Arial" w:cs="Arial"/>
          <w:b/>
          <w:bCs/>
          <w:sz w:val="24"/>
          <w:szCs w:val="24"/>
          <w:lang w:val="es-CO"/>
        </w:rPr>
      </w:pPr>
      <w:r w:rsidRPr="00075FD6">
        <w:rPr>
          <w:rFonts w:ascii="Arial" w:hAnsi="Arial" w:cs="Arial"/>
          <w:sz w:val="24"/>
          <w:szCs w:val="24"/>
          <w:lang w:val="es-CO"/>
        </w:rPr>
        <w:t>Ley 1474 de julio de 2011, “Por la cual se dictan normas orientadas a fortalecer los mecanismos de prevención, investigación y sanción de actos de corrupción y la efectividad del control de la gestión pública.”</w:t>
      </w:r>
    </w:p>
    <w:p w14:paraId="5A692569" w14:textId="77777777" w:rsidR="00075FD6" w:rsidRPr="00075FD6" w:rsidRDefault="00075FD6" w:rsidP="00075FD6">
      <w:pPr>
        <w:pStyle w:val="Prrafodelista"/>
        <w:spacing w:before="125" w:after="0" w:line="276" w:lineRule="exact"/>
        <w:jc w:val="both"/>
        <w:rPr>
          <w:rFonts w:ascii="Arial" w:hAnsi="Arial" w:cs="Arial"/>
          <w:b/>
          <w:bCs/>
          <w:sz w:val="24"/>
          <w:szCs w:val="24"/>
          <w:lang w:val="es-CO"/>
        </w:rPr>
      </w:pPr>
    </w:p>
    <w:p w14:paraId="35F16D56" w14:textId="77777777" w:rsidR="000A07AB" w:rsidRDefault="000A07AB" w:rsidP="000A07AB">
      <w:pPr>
        <w:spacing w:before="125" w:after="0" w:line="276" w:lineRule="exact"/>
        <w:ind w:left="360"/>
        <w:jc w:val="both"/>
        <w:rPr>
          <w:rFonts w:ascii="Arial" w:hAnsi="Arial" w:cs="Arial"/>
          <w:sz w:val="24"/>
          <w:szCs w:val="24"/>
          <w:lang w:val="es-CO"/>
        </w:rPr>
      </w:pPr>
      <w:r w:rsidRPr="00E36F2C">
        <w:rPr>
          <w:rFonts w:ascii="Arial" w:hAnsi="Arial" w:cs="Arial"/>
          <w:sz w:val="24"/>
          <w:szCs w:val="24"/>
          <w:lang w:val="es-CO"/>
        </w:rPr>
        <w:t xml:space="preserve"> “ARTICULO 22.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w:t>
      </w:r>
    </w:p>
    <w:p w14:paraId="09FC58A2" w14:textId="0ECD0198" w:rsidR="000A07AB" w:rsidRDefault="000A07AB" w:rsidP="000A07AB">
      <w:pPr>
        <w:spacing w:before="125" w:after="0" w:line="276" w:lineRule="exact"/>
        <w:ind w:left="360"/>
        <w:jc w:val="both"/>
        <w:rPr>
          <w:rFonts w:ascii="Arial" w:hAnsi="Arial" w:cs="Arial"/>
          <w:sz w:val="24"/>
          <w:szCs w:val="24"/>
          <w:lang w:val="es-CO"/>
        </w:rPr>
      </w:pPr>
    </w:p>
    <w:p w14:paraId="69C2CC87" w14:textId="712D4C9A" w:rsidR="00075FD6" w:rsidRDefault="00075FD6" w:rsidP="000A07AB">
      <w:pPr>
        <w:spacing w:before="125" w:after="0" w:line="276" w:lineRule="exact"/>
        <w:ind w:left="360"/>
        <w:jc w:val="both"/>
        <w:rPr>
          <w:rFonts w:ascii="Arial" w:hAnsi="Arial" w:cs="Arial"/>
          <w:sz w:val="24"/>
          <w:szCs w:val="24"/>
          <w:lang w:val="es-CO"/>
        </w:rPr>
      </w:pPr>
    </w:p>
    <w:p w14:paraId="71E0AFEC" w14:textId="77777777" w:rsidR="00075FD6" w:rsidRPr="00E36F2C" w:rsidRDefault="00075FD6" w:rsidP="000A07AB">
      <w:pPr>
        <w:spacing w:before="125" w:after="0" w:line="276" w:lineRule="exact"/>
        <w:ind w:left="360"/>
        <w:jc w:val="both"/>
        <w:rPr>
          <w:rFonts w:ascii="Arial" w:hAnsi="Arial" w:cs="Arial"/>
          <w:sz w:val="24"/>
          <w:szCs w:val="24"/>
          <w:lang w:val="es-CO"/>
        </w:rPr>
      </w:pPr>
    </w:p>
    <w:p w14:paraId="30E0F0E8"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4"/>
          <w:szCs w:val="24"/>
          <w:lang w:val="es-CO"/>
        </w:rPr>
      </w:pPr>
      <w:r w:rsidRPr="00E36F2C">
        <w:rPr>
          <w:rFonts w:ascii="Arial" w:hAnsi="Arial" w:cs="Arial"/>
          <w:b/>
          <w:bCs/>
          <w:sz w:val="28"/>
          <w:szCs w:val="28"/>
          <w:lang w:val="es-CO"/>
        </w:rPr>
        <w:lastRenderedPageBreak/>
        <w:t>OBJETIVO GENERAL</w:t>
      </w:r>
      <w:r w:rsidRPr="00E36F2C">
        <w:rPr>
          <w:rFonts w:ascii="Arial" w:hAnsi="Arial" w:cs="Arial"/>
          <w:b/>
          <w:bCs/>
          <w:sz w:val="24"/>
          <w:szCs w:val="24"/>
          <w:lang w:val="es-CO"/>
        </w:rPr>
        <w:t>:</w:t>
      </w:r>
    </w:p>
    <w:p w14:paraId="4086B4A5" w14:textId="77777777" w:rsidR="000A07AB" w:rsidRPr="00E36F2C" w:rsidRDefault="000A07AB" w:rsidP="000A07AB">
      <w:pPr>
        <w:pStyle w:val="Prrafodelista"/>
        <w:spacing w:before="125" w:after="0" w:line="276" w:lineRule="exact"/>
        <w:jc w:val="both"/>
        <w:rPr>
          <w:rFonts w:ascii="Arial" w:hAnsi="Arial" w:cs="Arial"/>
          <w:b/>
          <w:bCs/>
          <w:sz w:val="24"/>
          <w:szCs w:val="24"/>
          <w:lang w:val="es-CO"/>
        </w:rPr>
      </w:pPr>
    </w:p>
    <w:p w14:paraId="0ACCF8E8" w14:textId="5B7ED0AF"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lang w:val="es-CO"/>
        </w:rPr>
        <w:t xml:space="preserve">Realizar seguimiento y análisis a los gastos que realizó el Establecimiento Público Ambiental Distrital De Buenaventura verificando el cumplimiento de las políticas de eficiencia y austeridad en el gasto público, para el periodo </w:t>
      </w:r>
      <w:r>
        <w:rPr>
          <w:rFonts w:ascii="Arial" w:hAnsi="Arial" w:cs="Arial"/>
          <w:sz w:val="24"/>
          <w:szCs w:val="24"/>
          <w:lang w:val="es-CO"/>
        </w:rPr>
        <w:t>julio a septiembre</w:t>
      </w:r>
      <w:r w:rsidRPr="00E36F2C">
        <w:rPr>
          <w:rFonts w:ascii="Arial" w:hAnsi="Arial" w:cs="Arial"/>
          <w:sz w:val="24"/>
          <w:szCs w:val="24"/>
          <w:lang w:val="es-CO"/>
        </w:rPr>
        <w:t xml:space="preserve"> de 2021, en cumplimiento de las normas dictadas por el Estado </w:t>
      </w:r>
      <w:r>
        <w:rPr>
          <w:rFonts w:ascii="Arial" w:hAnsi="Arial" w:cs="Arial"/>
          <w:sz w:val="24"/>
          <w:szCs w:val="24"/>
          <w:lang w:val="es-CO"/>
        </w:rPr>
        <w:t>C</w:t>
      </w:r>
      <w:r w:rsidRPr="00E36F2C">
        <w:rPr>
          <w:rFonts w:ascii="Arial" w:hAnsi="Arial" w:cs="Arial"/>
          <w:sz w:val="24"/>
          <w:szCs w:val="24"/>
          <w:lang w:val="es-CO"/>
        </w:rPr>
        <w:t xml:space="preserve">olombiano. </w:t>
      </w:r>
    </w:p>
    <w:p w14:paraId="7475A363" w14:textId="53C9D3DD" w:rsidR="000A07AB" w:rsidRDefault="000A07AB" w:rsidP="000A07AB">
      <w:pPr>
        <w:pStyle w:val="Prrafodelista"/>
        <w:spacing w:before="125" w:after="0" w:line="276" w:lineRule="exact"/>
        <w:jc w:val="both"/>
        <w:rPr>
          <w:rFonts w:ascii="Arial" w:hAnsi="Arial" w:cs="Arial"/>
          <w:sz w:val="24"/>
          <w:szCs w:val="24"/>
          <w:lang w:val="es-CO"/>
        </w:rPr>
      </w:pPr>
    </w:p>
    <w:p w14:paraId="00D1AB1E" w14:textId="77777777" w:rsidR="00075FD6" w:rsidRPr="00E36F2C" w:rsidRDefault="00075FD6" w:rsidP="000A07AB">
      <w:pPr>
        <w:pStyle w:val="Prrafodelista"/>
        <w:spacing w:before="125" w:after="0" w:line="276" w:lineRule="exact"/>
        <w:jc w:val="both"/>
        <w:rPr>
          <w:rFonts w:ascii="Arial" w:hAnsi="Arial" w:cs="Arial"/>
          <w:sz w:val="24"/>
          <w:szCs w:val="24"/>
          <w:lang w:val="es-CO"/>
        </w:rPr>
      </w:pPr>
    </w:p>
    <w:p w14:paraId="6009F543" w14:textId="77777777" w:rsidR="000A07AB" w:rsidRPr="00E36F2C" w:rsidRDefault="000A07AB" w:rsidP="000A07AB">
      <w:pPr>
        <w:pStyle w:val="Prrafodelista"/>
        <w:numPr>
          <w:ilvl w:val="1"/>
          <w:numId w:val="1"/>
        </w:numPr>
        <w:spacing w:before="125" w:after="0" w:line="276" w:lineRule="exact"/>
        <w:jc w:val="center"/>
        <w:rPr>
          <w:rFonts w:ascii="Arial" w:hAnsi="Arial" w:cs="Arial"/>
          <w:b/>
          <w:bCs/>
          <w:caps/>
          <w:sz w:val="28"/>
          <w:szCs w:val="28"/>
          <w:lang w:val="es-CO"/>
        </w:rPr>
      </w:pPr>
      <w:r w:rsidRPr="00E36F2C">
        <w:rPr>
          <w:rFonts w:ascii="Arial" w:hAnsi="Arial" w:cs="Arial"/>
          <w:b/>
          <w:bCs/>
          <w:caps/>
          <w:sz w:val="28"/>
          <w:szCs w:val="28"/>
          <w:lang w:val="es-CO"/>
        </w:rPr>
        <w:t>Objetivos Espec</w:t>
      </w:r>
      <w:r>
        <w:rPr>
          <w:rFonts w:ascii="Arial" w:hAnsi="Arial" w:cs="Arial"/>
          <w:b/>
          <w:bCs/>
          <w:caps/>
          <w:sz w:val="28"/>
          <w:szCs w:val="28"/>
          <w:lang w:val="es-CO"/>
        </w:rPr>
        <w:t>í</w:t>
      </w:r>
      <w:r w:rsidRPr="00E36F2C">
        <w:rPr>
          <w:rFonts w:ascii="Arial" w:hAnsi="Arial" w:cs="Arial"/>
          <w:b/>
          <w:bCs/>
          <w:caps/>
          <w:sz w:val="28"/>
          <w:szCs w:val="28"/>
          <w:lang w:val="es-CO"/>
        </w:rPr>
        <w:t>ficos</w:t>
      </w:r>
    </w:p>
    <w:p w14:paraId="7913058B" w14:textId="77777777" w:rsidR="000A07AB" w:rsidRPr="00E36F2C" w:rsidRDefault="000A07AB" w:rsidP="000A07AB">
      <w:pPr>
        <w:pStyle w:val="Prrafodelista"/>
        <w:spacing w:before="125" w:after="0" w:line="276" w:lineRule="exact"/>
        <w:ind w:left="1110"/>
        <w:jc w:val="both"/>
        <w:rPr>
          <w:rFonts w:ascii="Arial" w:hAnsi="Arial" w:cs="Arial"/>
          <w:b/>
          <w:bCs/>
          <w:sz w:val="24"/>
          <w:szCs w:val="24"/>
          <w:lang w:val="es-CO"/>
        </w:rPr>
      </w:pPr>
    </w:p>
    <w:p w14:paraId="69C8AF83" w14:textId="77777777" w:rsidR="000A07AB" w:rsidRPr="00E36F2C" w:rsidRDefault="000A07AB" w:rsidP="000A07AB">
      <w:pPr>
        <w:spacing w:before="125" w:after="0" w:line="276" w:lineRule="exact"/>
        <w:ind w:left="720"/>
        <w:jc w:val="both"/>
        <w:rPr>
          <w:rFonts w:ascii="Arial" w:hAnsi="Arial" w:cs="Arial"/>
          <w:sz w:val="24"/>
          <w:szCs w:val="24"/>
          <w:lang w:val="es-CO"/>
        </w:rPr>
      </w:pPr>
      <w:r w:rsidRPr="00E36F2C">
        <w:rPr>
          <w:rFonts w:ascii="Arial" w:hAnsi="Arial" w:cs="Arial"/>
          <w:sz w:val="24"/>
          <w:szCs w:val="24"/>
          <w:lang w:val="es-CO"/>
        </w:rPr>
        <w:t xml:space="preserve"> </w:t>
      </w:r>
      <w:r w:rsidRPr="00E36F2C">
        <w:rPr>
          <w:rFonts w:ascii="Arial" w:hAnsi="Arial" w:cs="Arial"/>
          <w:sz w:val="24"/>
          <w:szCs w:val="24"/>
        </w:rPr>
        <w:sym w:font="Symbol" w:char="F0B7"/>
      </w:r>
      <w:r w:rsidRPr="00E36F2C">
        <w:rPr>
          <w:rFonts w:ascii="Arial" w:hAnsi="Arial" w:cs="Arial"/>
          <w:sz w:val="24"/>
          <w:szCs w:val="24"/>
          <w:lang w:val="es-CO"/>
        </w:rPr>
        <w:t xml:space="preserve"> Verificar el cumplimiento de las normas vigentes en materia de austeridad y eficiencia del gasto público.</w:t>
      </w:r>
    </w:p>
    <w:p w14:paraId="530224E8" w14:textId="77777777" w:rsidR="000A07AB" w:rsidRPr="00E36F2C" w:rsidRDefault="000A07AB" w:rsidP="000A07AB">
      <w:pPr>
        <w:spacing w:before="125" w:after="0" w:line="276" w:lineRule="exact"/>
        <w:ind w:left="720"/>
        <w:jc w:val="both"/>
        <w:rPr>
          <w:rFonts w:ascii="Arial" w:hAnsi="Arial" w:cs="Arial"/>
          <w:sz w:val="24"/>
          <w:szCs w:val="24"/>
          <w:lang w:val="es-CO"/>
        </w:rPr>
      </w:pPr>
      <w:r w:rsidRPr="00E36F2C">
        <w:rPr>
          <w:rFonts w:ascii="Arial" w:hAnsi="Arial" w:cs="Arial"/>
          <w:sz w:val="24"/>
          <w:szCs w:val="24"/>
          <w:lang w:val="es-CO"/>
        </w:rPr>
        <w:t xml:space="preserve"> </w:t>
      </w:r>
      <w:r w:rsidRPr="00E36F2C">
        <w:rPr>
          <w:rFonts w:ascii="Arial" w:hAnsi="Arial" w:cs="Arial"/>
          <w:sz w:val="24"/>
          <w:szCs w:val="24"/>
        </w:rPr>
        <w:sym w:font="Symbol" w:char="F0B7"/>
      </w:r>
      <w:r w:rsidRPr="00E36F2C">
        <w:rPr>
          <w:rFonts w:ascii="Arial" w:hAnsi="Arial" w:cs="Arial"/>
          <w:sz w:val="24"/>
          <w:szCs w:val="24"/>
          <w:lang w:val="es-CO"/>
        </w:rPr>
        <w:t xml:space="preserve"> Verificar y analizar que los gastos ejecutados estén orientados a la racionalidad y uso adecuado de los recursos. </w:t>
      </w:r>
    </w:p>
    <w:p w14:paraId="144EBCD7" w14:textId="169F1670" w:rsidR="000A07AB" w:rsidRDefault="000A07AB" w:rsidP="000A07AB">
      <w:pPr>
        <w:spacing w:before="125" w:after="0" w:line="276" w:lineRule="exact"/>
        <w:ind w:left="720"/>
        <w:jc w:val="both"/>
        <w:rPr>
          <w:rFonts w:ascii="Arial" w:hAnsi="Arial" w:cs="Arial"/>
          <w:sz w:val="24"/>
          <w:szCs w:val="24"/>
          <w:lang w:val="es-CO"/>
        </w:rPr>
      </w:pPr>
      <w:r w:rsidRPr="00E36F2C">
        <w:rPr>
          <w:rFonts w:ascii="Arial" w:hAnsi="Arial" w:cs="Arial"/>
          <w:sz w:val="24"/>
          <w:szCs w:val="24"/>
        </w:rPr>
        <w:sym w:font="Symbol" w:char="F0B7"/>
      </w:r>
      <w:r w:rsidRPr="00E36F2C">
        <w:rPr>
          <w:rFonts w:ascii="Arial" w:hAnsi="Arial" w:cs="Arial"/>
          <w:sz w:val="24"/>
          <w:szCs w:val="24"/>
          <w:lang w:val="es-CO"/>
        </w:rPr>
        <w:t xml:space="preserve"> Analizar el comportamiento y variaciones del gasto del periodo comprendido entre </w:t>
      </w:r>
      <w:r>
        <w:rPr>
          <w:rFonts w:ascii="Arial" w:hAnsi="Arial" w:cs="Arial"/>
          <w:sz w:val="24"/>
          <w:szCs w:val="24"/>
          <w:lang w:val="es-CO"/>
        </w:rPr>
        <w:t xml:space="preserve">julio a septiembre </w:t>
      </w:r>
      <w:r w:rsidRPr="00E36F2C">
        <w:rPr>
          <w:rFonts w:ascii="Arial" w:hAnsi="Arial" w:cs="Arial"/>
          <w:sz w:val="24"/>
          <w:szCs w:val="24"/>
          <w:lang w:val="es-CO"/>
        </w:rPr>
        <w:t>del año 2021 respecto al periodo del año inmediatamente anterior.</w:t>
      </w:r>
    </w:p>
    <w:p w14:paraId="2BAF2E71" w14:textId="77777777" w:rsidR="000A07AB" w:rsidRDefault="000A07AB" w:rsidP="000A07AB">
      <w:pPr>
        <w:spacing w:before="125" w:after="0" w:line="276" w:lineRule="exact"/>
        <w:ind w:left="720"/>
        <w:jc w:val="both"/>
        <w:rPr>
          <w:rFonts w:ascii="Arial" w:hAnsi="Arial" w:cs="Arial"/>
          <w:sz w:val="24"/>
          <w:szCs w:val="24"/>
          <w:lang w:val="es-CO"/>
        </w:rPr>
      </w:pPr>
    </w:p>
    <w:p w14:paraId="7A957093" w14:textId="77777777" w:rsidR="000A07AB" w:rsidRDefault="000A07AB" w:rsidP="000A07AB">
      <w:pPr>
        <w:spacing w:before="125" w:after="0" w:line="276" w:lineRule="exact"/>
        <w:ind w:left="720"/>
        <w:jc w:val="both"/>
        <w:rPr>
          <w:rFonts w:ascii="Arial" w:hAnsi="Arial" w:cs="Arial"/>
          <w:sz w:val="24"/>
          <w:szCs w:val="24"/>
          <w:lang w:val="es-CO"/>
        </w:rPr>
      </w:pPr>
    </w:p>
    <w:p w14:paraId="01C74B83" w14:textId="77777777" w:rsidR="00075FD6" w:rsidRDefault="00075FD6" w:rsidP="000A07AB">
      <w:pPr>
        <w:spacing w:before="125" w:after="0" w:line="276" w:lineRule="exact"/>
        <w:ind w:left="720"/>
        <w:jc w:val="both"/>
        <w:rPr>
          <w:rFonts w:ascii="Arial" w:hAnsi="Arial" w:cs="Arial"/>
          <w:sz w:val="24"/>
          <w:szCs w:val="24"/>
          <w:lang w:val="es-CO"/>
        </w:rPr>
      </w:pPr>
    </w:p>
    <w:p w14:paraId="3CBCC106" w14:textId="77777777" w:rsidR="00075FD6" w:rsidRDefault="00075FD6" w:rsidP="000A07AB">
      <w:pPr>
        <w:spacing w:before="125" w:after="0" w:line="276" w:lineRule="exact"/>
        <w:ind w:left="720"/>
        <w:jc w:val="both"/>
        <w:rPr>
          <w:rFonts w:ascii="Arial" w:hAnsi="Arial" w:cs="Arial"/>
          <w:sz w:val="24"/>
          <w:szCs w:val="24"/>
          <w:lang w:val="es-CO"/>
        </w:rPr>
      </w:pPr>
    </w:p>
    <w:p w14:paraId="7FADA37B" w14:textId="77777777" w:rsidR="00075FD6" w:rsidRDefault="00075FD6" w:rsidP="000A07AB">
      <w:pPr>
        <w:spacing w:before="125" w:after="0" w:line="276" w:lineRule="exact"/>
        <w:ind w:left="720"/>
        <w:jc w:val="both"/>
        <w:rPr>
          <w:rFonts w:ascii="Arial" w:hAnsi="Arial" w:cs="Arial"/>
          <w:sz w:val="24"/>
          <w:szCs w:val="24"/>
          <w:lang w:val="es-CO"/>
        </w:rPr>
      </w:pPr>
    </w:p>
    <w:p w14:paraId="2DD6246C" w14:textId="77777777" w:rsidR="00075FD6" w:rsidRDefault="00075FD6" w:rsidP="000A07AB">
      <w:pPr>
        <w:spacing w:before="125" w:after="0" w:line="276" w:lineRule="exact"/>
        <w:ind w:left="720"/>
        <w:jc w:val="both"/>
        <w:rPr>
          <w:rFonts w:ascii="Arial" w:hAnsi="Arial" w:cs="Arial"/>
          <w:sz w:val="24"/>
          <w:szCs w:val="24"/>
          <w:lang w:val="es-CO"/>
        </w:rPr>
      </w:pPr>
    </w:p>
    <w:p w14:paraId="341E654B" w14:textId="0D20BCC6" w:rsidR="00075FD6" w:rsidRDefault="00075FD6" w:rsidP="000A07AB">
      <w:pPr>
        <w:spacing w:before="125" w:after="0" w:line="276" w:lineRule="exact"/>
        <w:ind w:left="720"/>
        <w:jc w:val="both"/>
        <w:rPr>
          <w:rFonts w:ascii="Arial" w:hAnsi="Arial" w:cs="Arial"/>
          <w:sz w:val="24"/>
          <w:szCs w:val="24"/>
          <w:lang w:val="es-CO"/>
        </w:rPr>
      </w:pPr>
    </w:p>
    <w:p w14:paraId="3BF6B931" w14:textId="032B6EA9" w:rsidR="00075FD6" w:rsidRDefault="00075FD6" w:rsidP="000A07AB">
      <w:pPr>
        <w:spacing w:before="125" w:after="0" w:line="276" w:lineRule="exact"/>
        <w:ind w:left="720"/>
        <w:jc w:val="both"/>
        <w:rPr>
          <w:rFonts w:ascii="Arial" w:hAnsi="Arial" w:cs="Arial"/>
          <w:sz w:val="24"/>
          <w:szCs w:val="24"/>
          <w:lang w:val="es-CO"/>
        </w:rPr>
      </w:pPr>
    </w:p>
    <w:p w14:paraId="3441056A" w14:textId="3D7979F1" w:rsidR="00075FD6" w:rsidRDefault="00075FD6" w:rsidP="000A07AB">
      <w:pPr>
        <w:spacing w:before="125" w:after="0" w:line="276" w:lineRule="exact"/>
        <w:ind w:left="720"/>
        <w:jc w:val="both"/>
        <w:rPr>
          <w:rFonts w:ascii="Arial" w:hAnsi="Arial" w:cs="Arial"/>
          <w:sz w:val="24"/>
          <w:szCs w:val="24"/>
          <w:lang w:val="es-CO"/>
        </w:rPr>
      </w:pPr>
    </w:p>
    <w:p w14:paraId="7847F980" w14:textId="7C3B935D" w:rsidR="00075FD6" w:rsidRDefault="00075FD6" w:rsidP="000A07AB">
      <w:pPr>
        <w:spacing w:before="125" w:after="0" w:line="276" w:lineRule="exact"/>
        <w:ind w:left="720"/>
        <w:jc w:val="both"/>
        <w:rPr>
          <w:rFonts w:ascii="Arial" w:hAnsi="Arial" w:cs="Arial"/>
          <w:sz w:val="24"/>
          <w:szCs w:val="24"/>
          <w:lang w:val="es-CO"/>
        </w:rPr>
      </w:pPr>
    </w:p>
    <w:p w14:paraId="14915E55" w14:textId="27DCACFC" w:rsidR="00075FD6" w:rsidRDefault="00075FD6" w:rsidP="000A07AB">
      <w:pPr>
        <w:spacing w:before="125" w:after="0" w:line="276" w:lineRule="exact"/>
        <w:ind w:left="720"/>
        <w:jc w:val="both"/>
        <w:rPr>
          <w:rFonts w:ascii="Arial" w:hAnsi="Arial" w:cs="Arial"/>
          <w:sz w:val="24"/>
          <w:szCs w:val="24"/>
          <w:lang w:val="es-CO"/>
        </w:rPr>
      </w:pPr>
    </w:p>
    <w:p w14:paraId="57E50BAC" w14:textId="77777777" w:rsidR="00075FD6" w:rsidRDefault="00075FD6" w:rsidP="000A07AB">
      <w:pPr>
        <w:spacing w:before="125" w:after="0" w:line="276" w:lineRule="exact"/>
        <w:ind w:left="720"/>
        <w:jc w:val="both"/>
        <w:rPr>
          <w:rFonts w:ascii="Arial" w:hAnsi="Arial" w:cs="Arial"/>
          <w:sz w:val="24"/>
          <w:szCs w:val="24"/>
          <w:lang w:val="es-CO"/>
        </w:rPr>
      </w:pPr>
    </w:p>
    <w:p w14:paraId="4D7680D9"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rPr>
      </w:pPr>
      <w:r w:rsidRPr="00E36F2C">
        <w:rPr>
          <w:rFonts w:ascii="Arial" w:hAnsi="Arial" w:cs="Arial"/>
          <w:b/>
          <w:bCs/>
          <w:sz w:val="28"/>
          <w:szCs w:val="28"/>
          <w:lang w:val="es-CO"/>
        </w:rPr>
        <w:lastRenderedPageBreak/>
        <w:t>DEFINICIONES</w:t>
      </w:r>
    </w:p>
    <w:p w14:paraId="5639DF32" w14:textId="77777777" w:rsidR="000A07AB" w:rsidRPr="00E36F2C" w:rsidRDefault="000A07AB" w:rsidP="000A07AB">
      <w:pPr>
        <w:pStyle w:val="Prrafodelista"/>
        <w:spacing w:before="125" w:after="0" w:line="276" w:lineRule="exact"/>
        <w:jc w:val="both"/>
        <w:rPr>
          <w:rFonts w:ascii="Arial" w:hAnsi="Arial" w:cs="Arial"/>
          <w:b/>
          <w:bCs/>
          <w:sz w:val="24"/>
          <w:szCs w:val="24"/>
        </w:rPr>
      </w:pPr>
    </w:p>
    <w:p w14:paraId="05345D41"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rPr>
        <w:sym w:font="Symbol" w:char="F0B7"/>
      </w:r>
      <w:r w:rsidRPr="00E36F2C">
        <w:rPr>
          <w:rFonts w:ascii="Arial" w:hAnsi="Arial" w:cs="Arial"/>
          <w:sz w:val="24"/>
          <w:szCs w:val="24"/>
          <w:lang w:val="es-CO"/>
        </w:rPr>
        <w:t xml:space="preserve"> </w:t>
      </w:r>
      <w:r w:rsidRPr="00E36F2C">
        <w:rPr>
          <w:rFonts w:ascii="Arial" w:hAnsi="Arial" w:cs="Arial"/>
          <w:b/>
          <w:bCs/>
          <w:i/>
          <w:iCs/>
          <w:sz w:val="24"/>
          <w:szCs w:val="24"/>
          <w:lang w:val="es-CO"/>
        </w:rPr>
        <w:t>Austeridad del Gasto</w:t>
      </w:r>
      <w:r w:rsidRPr="00E36F2C">
        <w:rPr>
          <w:rFonts w:ascii="Arial" w:hAnsi="Arial" w:cs="Arial"/>
          <w:sz w:val="24"/>
          <w:szCs w:val="24"/>
          <w:lang w:val="es-CO"/>
        </w:rPr>
        <w:t xml:space="preserve">: política colombiana, debidamente legislada, que genera reducción del gasto público en materia de recortes presupuestales o uso racionado y eficiente de recursos. </w:t>
      </w:r>
    </w:p>
    <w:p w14:paraId="44EA4328"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b/>
          <w:bCs/>
          <w:i/>
          <w:iCs/>
          <w:sz w:val="24"/>
          <w:szCs w:val="24"/>
        </w:rPr>
        <w:sym w:font="Symbol" w:char="F0B7"/>
      </w:r>
      <w:r w:rsidRPr="00E36F2C">
        <w:rPr>
          <w:rFonts w:ascii="Arial" w:hAnsi="Arial" w:cs="Arial"/>
          <w:b/>
          <w:bCs/>
          <w:i/>
          <w:iCs/>
          <w:sz w:val="24"/>
          <w:szCs w:val="24"/>
          <w:lang w:val="es-CO"/>
        </w:rPr>
        <w:t xml:space="preserve"> Gasto público</w:t>
      </w:r>
      <w:r w:rsidRPr="00E36F2C">
        <w:rPr>
          <w:rFonts w:ascii="Arial" w:hAnsi="Arial" w:cs="Arial"/>
          <w:sz w:val="24"/>
          <w:szCs w:val="24"/>
          <w:lang w:val="es-CO"/>
        </w:rPr>
        <w:t xml:space="preserve">: monto económico que destina la Administración Nacional para satisfacer necesidades ciudadanas. </w:t>
      </w:r>
    </w:p>
    <w:p w14:paraId="6A1F2660"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rPr>
        <w:sym w:font="Symbol" w:char="F0B7"/>
      </w:r>
      <w:r w:rsidRPr="00E36F2C">
        <w:rPr>
          <w:rFonts w:ascii="Arial" w:hAnsi="Arial" w:cs="Arial"/>
          <w:sz w:val="24"/>
          <w:szCs w:val="24"/>
          <w:lang w:val="es-CO"/>
        </w:rPr>
        <w:t xml:space="preserve"> </w:t>
      </w:r>
      <w:r w:rsidRPr="00E36F2C">
        <w:rPr>
          <w:rFonts w:ascii="Arial" w:hAnsi="Arial" w:cs="Arial"/>
          <w:b/>
          <w:bCs/>
          <w:i/>
          <w:iCs/>
          <w:sz w:val="24"/>
          <w:szCs w:val="24"/>
          <w:lang w:val="es-CO"/>
        </w:rPr>
        <w:t>Presupuesto público:</w:t>
      </w:r>
      <w:r w:rsidRPr="00E36F2C">
        <w:rPr>
          <w:rFonts w:ascii="Arial" w:hAnsi="Arial" w:cs="Arial"/>
          <w:sz w:val="24"/>
          <w:szCs w:val="24"/>
          <w:lang w:val="es-CO"/>
        </w:rPr>
        <w:t xml:space="preserve"> El presupuesto público es una de las herramientas fundamentales para la ejecución de la política económica por parte del Estado. Es el instrumento mediante el cual ejerce su función de financiador o proveedor directo de bienes y servicios. Como parte del proceso de gestión estatal de planeación, en el presupuesto se materializan en propuestas cuantificadas los diferentes propósitos de Estado y de gobierno que se ejecutarán a través de las entidades encargadas de su administración. Por medio del presupuesto se atiende también el funcionamiento de estas entidades y el financiamiento adquirido para el desarrollo de sus actividades.</w:t>
      </w:r>
    </w:p>
    <w:p w14:paraId="481030B4"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30293E96"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t>ALCANCE:</w:t>
      </w:r>
    </w:p>
    <w:p w14:paraId="3952C820" w14:textId="77777777" w:rsidR="000A07AB" w:rsidRPr="00E36F2C" w:rsidRDefault="000A07AB" w:rsidP="000A07AB">
      <w:pPr>
        <w:pStyle w:val="Prrafodelista"/>
        <w:spacing w:before="125" w:after="0" w:line="276" w:lineRule="exact"/>
        <w:jc w:val="both"/>
        <w:rPr>
          <w:rFonts w:ascii="Arial" w:hAnsi="Arial" w:cs="Arial"/>
          <w:b/>
          <w:bCs/>
          <w:sz w:val="24"/>
          <w:szCs w:val="24"/>
          <w:lang w:val="es-CO"/>
        </w:rPr>
      </w:pPr>
    </w:p>
    <w:p w14:paraId="37D43FFA"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lang w:val="es-CO"/>
        </w:rPr>
        <w:t xml:space="preserve">El propósito del presente informe es el de establecer el cumplimiento de las políticas de eficiencia y austeridad en los gastos en que incurrieron las dependencias del Establecimiento Público Ambiental Distrital de Buenaventura, para el normal funcionamiento y el desarrollo de sus funciones; entre ellos, se relacionan los siguientes: (1) Administración de personal y contratación de servicios personales; (2) Servicios de Consultoría y Honorarios; (3) Arriendos; (4) Gastos de Representación (5) Adquisición de bienes y servicios; (6) Servicios Públicos, (7) Gastos de Viajes; (8) Gastos por Reembolso de caja; lo anterior, con el fin de verificar el cumplimiento de la normatividad asociada a la austeridad en el gasto. </w:t>
      </w:r>
    </w:p>
    <w:p w14:paraId="64A7372E"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7DFCC5FC"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t>METODOLOGÍA:</w:t>
      </w:r>
    </w:p>
    <w:p w14:paraId="6544526D" w14:textId="77777777" w:rsidR="000A07AB" w:rsidRPr="00E36F2C" w:rsidRDefault="000A07AB" w:rsidP="000A07AB">
      <w:pPr>
        <w:pStyle w:val="Prrafodelista"/>
        <w:spacing w:before="125" w:after="0" w:line="276" w:lineRule="exact"/>
        <w:jc w:val="both"/>
        <w:rPr>
          <w:rFonts w:ascii="Arial" w:hAnsi="Arial" w:cs="Arial"/>
          <w:b/>
          <w:bCs/>
          <w:sz w:val="24"/>
          <w:szCs w:val="24"/>
          <w:lang w:val="es-CO"/>
        </w:rPr>
      </w:pPr>
    </w:p>
    <w:p w14:paraId="091AFF6F" w14:textId="26119071"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lang w:val="es-CO"/>
        </w:rPr>
        <w:t xml:space="preserve">El presente informe se elaboró con base en la información obtenida directamente de los informes Ejecución Presupuestal de Gasto (EPG) “obligaciones” correspondientes al periodo comprendido entre el 01 </w:t>
      </w:r>
      <w:r w:rsidR="00AC1460" w:rsidRPr="00E36F2C">
        <w:rPr>
          <w:rFonts w:ascii="Arial" w:hAnsi="Arial" w:cs="Arial"/>
          <w:sz w:val="24"/>
          <w:szCs w:val="24"/>
          <w:lang w:val="es-CO"/>
        </w:rPr>
        <w:t>de julio</w:t>
      </w:r>
      <w:r w:rsidR="008301C0">
        <w:rPr>
          <w:rFonts w:ascii="Arial" w:hAnsi="Arial" w:cs="Arial"/>
          <w:sz w:val="24"/>
          <w:szCs w:val="24"/>
          <w:lang w:val="es-CO"/>
        </w:rPr>
        <w:t xml:space="preserve"> al </w:t>
      </w:r>
      <w:r w:rsidRPr="00E36F2C">
        <w:rPr>
          <w:rFonts w:ascii="Arial" w:hAnsi="Arial" w:cs="Arial"/>
          <w:sz w:val="24"/>
          <w:szCs w:val="24"/>
          <w:lang w:val="es-CO"/>
        </w:rPr>
        <w:t>30 de</w:t>
      </w:r>
      <w:r w:rsidR="008301C0">
        <w:rPr>
          <w:rFonts w:ascii="Arial" w:hAnsi="Arial" w:cs="Arial"/>
          <w:sz w:val="24"/>
          <w:szCs w:val="24"/>
          <w:lang w:val="es-CO"/>
        </w:rPr>
        <w:t xml:space="preserve"> septiembre</w:t>
      </w:r>
      <w:r w:rsidRPr="00E36F2C">
        <w:rPr>
          <w:rFonts w:ascii="Arial" w:hAnsi="Arial" w:cs="Arial"/>
          <w:sz w:val="24"/>
          <w:szCs w:val="24"/>
          <w:lang w:val="es-CO"/>
        </w:rPr>
        <w:t xml:space="preserve"> de 2021.</w:t>
      </w:r>
    </w:p>
    <w:p w14:paraId="6BC60503"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26BB2D11"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lastRenderedPageBreak/>
        <w:t>PERIOCIDAD DEL INFORME:</w:t>
      </w:r>
    </w:p>
    <w:p w14:paraId="75BCAB15"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61FC3086" w14:textId="74EA33D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lang w:val="es-CO"/>
        </w:rPr>
        <w:t>De acuerdo con el artículo 22 del Decreto 1737 de 1998, la Oficina de Control Interno, realizar</w:t>
      </w:r>
      <w:r>
        <w:rPr>
          <w:rFonts w:ascii="Arial" w:hAnsi="Arial" w:cs="Arial"/>
          <w:sz w:val="24"/>
          <w:szCs w:val="24"/>
          <w:lang w:val="es-CO"/>
        </w:rPr>
        <w:t>á</w:t>
      </w:r>
      <w:r w:rsidRPr="00E36F2C">
        <w:rPr>
          <w:rFonts w:ascii="Arial" w:hAnsi="Arial" w:cs="Arial"/>
          <w:sz w:val="24"/>
          <w:szCs w:val="24"/>
          <w:lang w:val="es-CO"/>
        </w:rPr>
        <w:t xml:space="preserve"> el informe cuatro veces al año. </w:t>
      </w:r>
    </w:p>
    <w:p w14:paraId="22DE741A"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4B18C0BE"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t>FUENTES DE INFORMACI</w:t>
      </w:r>
      <w:r>
        <w:rPr>
          <w:rFonts w:ascii="Arial" w:hAnsi="Arial" w:cs="Arial"/>
          <w:b/>
          <w:bCs/>
          <w:sz w:val="28"/>
          <w:szCs w:val="28"/>
          <w:lang w:val="es-CO"/>
        </w:rPr>
        <w:t>Ó</w:t>
      </w:r>
      <w:r w:rsidRPr="00E36F2C">
        <w:rPr>
          <w:rFonts w:ascii="Arial" w:hAnsi="Arial" w:cs="Arial"/>
          <w:b/>
          <w:bCs/>
          <w:sz w:val="28"/>
          <w:szCs w:val="28"/>
          <w:lang w:val="es-CO"/>
        </w:rPr>
        <w:t>N:</w:t>
      </w:r>
    </w:p>
    <w:p w14:paraId="0FA714D0"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17D63699"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r w:rsidRPr="00E36F2C">
        <w:rPr>
          <w:rFonts w:ascii="Arial" w:hAnsi="Arial" w:cs="Arial"/>
          <w:sz w:val="24"/>
          <w:szCs w:val="24"/>
          <w:lang w:val="es-CO"/>
        </w:rPr>
        <w:t xml:space="preserve">Como fuente de información, participó la Subdirección Administrativa y Financiera, y el área de presupuesto quienes suministraron la información requerida por la Oficina Asesora de Control Interno. </w:t>
      </w:r>
    </w:p>
    <w:p w14:paraId="0FF9468E"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69146730" w14:textId="77777777" w:rsidR="000A07AB" w:rsidRPr="00E36F2C" w:rsidRDefault="000A07AB" w:rsidP="000A07AB">
      <w:pPr>
        <w:pStyle w:val="Prrafodelista"/>
        <w:numPr>
          <w:ilvl w:val="0"/>
          <w:numId w:val="1"/>
        </w:numPr>
        <w:spacing w:before="125" w:after="0" w:line="276" w:lineRule="exact"/>
        <w:jc w:val="center"/>
        <w:rPr>
          <w:rFonts w:ascii="Arial" w:hAnsi="Arial" w:cs="Arial"/>
          <w:b/>
          <w:bCs/>
          <w:sz w:val="28"/>
          <w:szCs w:val="28"/>
          <w:lang w:val="es-CO"/>
        </w:rPr>
      </w:pPr>
      <w:r w:rsidRPr="00E36F2C">
        <w:rPr>
          <w:rFonts w:ascii="Arial" w:hAnsi="Arial" w:cs="Arial"/>
          <w:b/>
          <w:bCs/>
          <w:sz w:val="28"/>
          <w:szCs w:val="28"/>
          <w:lang w:val="es-CO"/>
        </w:rPr>
        <w:t>RESULTADOS</w:t>
      </w:r>
    </w:p>
    <w:p w14:paraId="4EC77FB8" w14:textId="77777777" w:rsidR="000A07AB" w:rsidRPr="00E36F2C" w:rsidRDefault="000A07AB" w:rsidP="000A07AB">
      <w:pPr>
        <w:pStyle w:val="Prrafodelista"/>
        <w:spacing w:before="125" w:after="0" w:line="276" w:lineRule="exact"/>
        <w:jc w:val="both"/>
        <w:rPr>
          <w:rFonts w:ascii="Arial" w:hAnsi="Arial" w:cs="Arial"/>
          <w:sz w:val="24"/>
          <w:szCs w:val="24"/>
          <w:lang w:val="es-CO"/>
        </w:rPr>
      </w:pPr>
    </w:p>
    <w:p w14:paraId="567B832B" w14:textId="2409A6C7" w:rsidR="000A07AB" w:rsidRPr="00E36F2C" w:rsidRDefault="000A07AB" w:rsidP="000A07AB">
      <w:pPr>
        <w:pStyle w:val="Prrafodelista"/>
        <w:spacing w:before="125" w:after="0" w:line="276" w:lineRule="exact"/>
        <w:jc w:val="both"/>
        <w:rPr>
          <w:rFonts w:ascii="Arial" w:hAnsi="Arial" w:cs="Arial"/>
          <w:b/>
          <w:bCs/>
          <w:sz w:val="24"/>
          <w:szCs w:val="24"/>
          <w:lang w:val="es-CO"/>
        </w:rPr>
      </w:pPr>
      <w:r w:rsidRPr="00E36F2C">
        <w:rPr>
          <w:rFonts w:ascii="Arial" w:hAnsi="Arial" w:cs="Arial"/>
          <w:sz w:val="24"/>
          <w:szCs w:val="24"/>
          <w:lang w:val="es-CO"/>
        </w:rPr>
        <w:t xml:space="preserve">A continuación, se exponen los resultados obtenidos del análisis de la información suministrada, dando cuenta del comportamiento de los gastos efectuados entre </w:t>
      </w:r>
      <w:r>
        <w:rPr>
          <w:rFonts w:ascii="Arial" w:hAnsi="Arial" w:cs="Arial"/>
          <w:sz w:val="24"/>
          <w:szCs w:val="24"/>
          <w:lang w:val="es-CO"/>
        </w:rPr>
        <w:t>julio a septiembre</w:t>
      </w:r>
      <w:r w:rsidRPr="00E36F2C">
        <w:rPr>
          <w:rFonts w:ascii="Arial" w:hAnsi="Arial" w:cs="Arial"/>
          <w:sz w:val="24"/>
          <w:szCs w:val="24"/>
          <w:lang w:val="es-CO"/>
        </w:rPr>
        <w:t xml:space="preserve"> de 2021 en los rubros enunciados y del comparativo horizontal y vertical de la ejecución de gastos del período estudiado, para cada uno de los conceptos relacionados.</w:t>
      </w:r>
    </w:p>
    <w:p w14:paraId="5B63F3D8" w14:textId="77777777" w:rsidR="000A07AB" w:rsidRPr="00E36F2C" w:rsidRDefault="000A07AB" w:rsidP="000A07AB">
      <w:pPr>
        <w:jc w:val="both"/>
        <w:rPr>
          <w:rFonts w:ascii="Arial" w:hAnsi="Arial" w:cs="Arial"/>
          <w:sz w:val="24"/>
          <w:szCs w:val="24"/>
          <w:lang w:val="es-CO"/>
        </w:rPr>
      </w:pPr>
    </w:p>
    <w:p w14:paraId="248E7C8A" w14:textId="77777777" w:rsidR="000A07AB" w:rsidRPr="00E36F2C" w:rsidRDefault="000A07AB" w:rsidP="000A07AB">
      <w:pPr>
        <w:pStyle w:val="Prrafodelista"/>
        <w:numPr>
          <w:ilvl w:val="1"/>
          <w:numId w:val="1"/>
        </w:numPr>
        <w:jc w:val="center"/>
        <w:rPr>
          <w:rFonts w:ascii="Arial" w:hAnsi="Arial" w:cs="Arial"/>
          <w:b/>
          <w:bCs/>
          <w:sz w:val="28"/>
          <w:szCs w:val="28"/>
          <w:lang w:val="es-CO"/>
        </w:rPr>
      </w:pPr>
      <w:r w:rsidRPr="00E36F2C">
        <w:rPr>
          <w:rFonts w:ascii="Arial" w:hAnsi="Arial" w:cs="Arial"/>
          <w:b/>
          <w:bCs/>
          <w:sz w:val="28"/>
          <w:szCs w:val="28"/>
          <w:lang w:val="es-CO"/>
        </w:rPr>
        <w:t>ADMINISTRACIÓN DE PERSONAL Y CONTRATACIÓN DE SERVICIOS PERSONALES</w:t>
      </w:r>
    </w:p>
    <w:p w14:paraId="094C7029" w14:textId="0DE7D16A" w:rsidR="000A07AB" w:rsidRPr="00E36F2C" w:rsidRDefault="000A07AB" w:rsidP="000A07AB">
      <w:pPr>
        <w:ind w:left="720"/>
        <w:jc w:val="both"/>
        <w:rPr>
          <w:rFonts w:ascii="Arial" w:hAnsi="Arial" w:cs="Arial"/>
          <w:sz w:val="24"/>
          <w:szCs w:val="24"/>
          <w:lang w:val="es-CO"/>
        </w:rPr>
      </w:pPr>
      <w:r w:rsidRPr="00E36F2C">
        <w:rPr>
          <w:rFonts w:ascii="Arial" w:hAnsi="Arial" w:cs="Arial"/>
          <w:b/>
          <w:bCs/>
          <w:sz w:val="24"/>
          <w:szCs w:val="24"/>
          <w:lang w:val="es-CO"/>
        </w:rPr>
        <w:t>8.1.1. Administración De Personal:</w:t>
      </w:r>
      <w:r w:rsidRPr="00E36F2C">
        <w:rPr>
          <w:rFonts w:ascii="Arial" w:hAnsi="Arial" w:cs="Arial"/>
          <w:sz w:val="24"/>
          <w:szCs w:val="24"/>
          <w:lang w:val="es-CO"/>
        </w:rPr>
        <w:t xml:space="preserve"> El establecimiento Público Ambiental fue creado mediante acuerdo 034 de diciembre de 2014, con relación a la nómina y la información de los funcionarios suministrada por el área de recursos humanos, se realizó la comparación de la planta de personal, distribuida a nivel de cargos, para el periodo definido como alcance. En la siguiente tabla se presenta el resultado</w:t>
      </w:r>
      <w:r>
        <w:rPr>
          <w:rFonts w:ascii="Arial" w:hAnsi="Arial" w:cs="Arial"/>
          <w:sz w:val="24"/>
          <w:szCs w:val="24"/>
          <w:lang w:val="es-CO"/>
        </w:rPr>
        <w:t>:</w:t>
      </w:r>
    </w:p>
    <w:p w14:paraId="0880D8A5" w14:textId="787AE8FE" w:rsidR="000A07AB" w:rsidRDefault="000A07AB" w:rsidP="000A07AB">
      <w:pPr>
        <w:jc w:val="center"/>
        <w:rPr>
          <w:rFonts w:ascii="Arial" w:eastAsia="Times New Roman" w:hAnsi="Arial" w:cs="Times New Roman"/>
          <w:color w:val="365F91"/>
          <w:sz w:val="24"/>
          <w:szCs w:val="24"/>
          <w:lang w:val="es-CO" w:bidi="es-CO"/>
        </w:rPr>
      </w:pPr>
    </w:p>
    <w:p w14:paraId="1E4955C8" w14:textId="7E6C96B8" w:rsidR="00075FD6" w:rsidRDefault="00075FD6" w:rsidP="000A07AB">
      <w:pPr>
        <w:jc w:val="center"/>
        <w:rPr>
          <w:rFonts w:ascii="Arial" w:eastAsia="Times New Roman" w:hAnsi="Arial" w:cs="Times New Roman"/>
          <w:color w:val="365F91"/>
          <w:sz w:val="24"/>
          <w:szCs w:val="24"/>
          <w:lang w:val="es-CO" w:bidi="es-CO"/>
        </w:rPr>
      </w:pPr>
    </w:p>
    <w:p w14:paraId="26DF1279" w14:textId="77777777" w:rsidR="00075FD6" w:rsidRPr="009A137F" w:rsidRDefault="00075FD6" w:rsidP="000A07AB">
      <w:pPr>
        <w:jc w:val="center"/>
        <w:rPr>
          <w:rFonts w:ascii="Arial" w:eastAsia="Times New Roman" w:hAnsi="Arial" w:cs="Times New Roman"/>
          <w:color w:val="365F91"/>
          <w:sz w:val="24"/>
          <w:szCs w:val="24"/>
          <w:lang w:val="es-CO" w:bidi="es-CO"/>
        </w:rPr>
      </w:pPr>
    </w:p>
    <w:tbl>
      <w:tblPr>
        <w:tblStyle w:val="Tablaconcuadrcula4-nfasis11"/>
        <w:tblW w:w="0" w:type="auto"/>
        <w:tblInd w:w="-5" w:type="dxa"/>
        <w:tblBorders>
          <w:top w:val="double" w:sz="12" w:space="0" w:color="4F81BD"/>
          <w:left w:val="double" w:sz="12" w:space="0" w:color="4F81BD"/>
          <w:bottom w:val="double" w:sz="12" w:space="0" w:color="4F81BD"/>
          <w:right w:val="double" w:sz="12" w:space="0" w:color="4F81BD"/>
          <w:insideH w:val="double" w:sz="12" w:space="0" w:color="4F81BD"/>
          <w:insideV w:val="double" w:sz="12" w:space="0" w:color="4F81BD"/>
        </w:tblBorders>
        <w:tblLook w:val="04A0" w:firstRow="1" w:lastRow="0" w:firstColumn="1" w:lastColumn="0" w:noHBand="0" w:noVBand="1"/>
      </w:tblPr>
      <w:tblGrid>
        <w:gridCol w:w="3234"/>
        <w:gridCol w:w="736"/>
        <w:gridCol w:w="3234"/>
        <w:gridCol w:w="736"/>
      </w:tblGrid>
      <w:tr w:rsidR="000A07AB" w:rsidRPr="00446695" w14:paraId="7AB0299A" w14:textId="77777777" w:rsidTr="009F4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0" w:type="dxa"/>
            <w:gridSpan w:val="4"/>
          </w:tcPr>
          <w:p w14:paraId="5203E68A" w14:textId="77777777" w:rsidR="000A07AB" w:rsidRPr="009A137F" w:rsidRDefault="000A07AB" w:rsidP="009F47E3">
            <w:pPr>
              <w:jc w:val="center"/>
              <w:rPr>
                <w:rFonts w:ascii="Arial" w:eastAsia="Times New Roman" w:hAnsi="Arial" w:cs="Times New Roman"/>
                <w:color w:val="365F91"/>
                <w:sz w:val="24"/>
                <w:szCs w:val="24"/>
                <w:lang w:val="es-CO" w:bidi="es-CO"/>
              </w:rPr>
            </w:pPr>
            <w:bookmarkStart w:id="1" w:name="_Hlk101260683"/>
            <w:r w:rsidRPr="009A137F">
              <w:rPr>
                <w:rFonts w:ascii="Arial" w:eastAsia="Times New Roman" w:hAnsi="Arial" w:cs="Times New Roman"/>
                <w:sz w:val="24"/>
                <w:szCs w:val="24"/>
                <w:lang w:val="es-CO" w:bidi="es-CO"/>
              </w:rPr>
              <w:lastRenderedPageBreak/>
              <w:t xml:space="preserve">PLANTA DE PERSONAL ACTIVO DEL </w:t>
            </w:r>
            <w:r w:rsidRPr="009A137F">
              <w:rPr>
                <w:rFonts w:ascii="Arial" w:eastAsia="Arial" w:hAnsi="Arial" w:cs="Arial"/>
                <w:sz w:val="24"/>
                <w:szCs w:val="24"/>
                <w:lang w:val="es-CO" w:eastAsia="es-CO" w:bidi="es-CO"/>
              </w:rPr>
              <w:t>ESTABLECIMIENTO PÚBLICO AMBIENTAL</w:t>
            </w:r>
          </w:p>
        </w:tc>
      </w:tr>
      <w:bookmarkEnd w:id="1"/>
      <w:tr w:rsidR="000A07AB" w:rsidRPr="00CC6D4F" w14:paraId="751D4696" w14:textId="77777777" w:rsidTr="009F4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gridSpan w:val="2"/>
          </w:tcPr>
          <w:p w14:paraId="5338E13F" w14:textId="794520A2" w:rsidR="000A07AB" w:rsidRPr="00CC6D4F" w:rsidRDefault="000A07AB" w:rsidP="009F47E3">
            <w:pPr>
              <w:jc w:val="both"/>
              <w:rPr>
                <w:rFonts w:ascii="Arial" w:eastAsia="Arial" w:hAnsi="Arial" w:cs="Arial"/>
                <w:color w:val="000000"/>
                <w:sz w:val="24"/>
                <w:szCs w:val="24"/>
                <w:lang w:eastAsia="es-CO" w:bidi="es-CO"/>
              </w:rPr>
            </w:pPr>
            <w:r>
              <w:rPr>
                <w:rFonts w:ascii="Times New Roman" w:eastAsia="Times New Roman" w:hAnsi="Times New Roman" w:cs="Times New Roman"/>
                <w:sz w:val="24"/>
                <w:szCs w:val="24"/>
                <w:lang w:eastAsia="es-CO"/>
              </w:rPr>
              <w:t>III</w:t>
            </w:r>
            <w:r w:rsidR="00F62575">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TRIMESTRE 2020</w:t>
            </w:r>
          </w:p>
        </w:tc>
        <w:tc>
          <w:tcPr>
            <w:tcW w:w="3970" w:type="dxa"/>
            <w:gridSpan w:val="2"/>
          </w:tcPr>
          <w:p w14:paraId="482601BB" w14:textId="69622D43" w:rsidR="000A07AB" w:rsidRPr="00CC6D4F" w:rsidRDefault="000A07AB" w:rsidP="009F47E3">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sz w:val="24"/>
                <w:szCs w:val="24"/>
                <w:lang w:eastAsia="es-CO" w:bidi="es-CO"/>
              </w:rPr>
            </w:pPr>
            <w:r>
              <w:rPr>
                <w:rFonts w:ascii="Times New Roman" w:eastAsia="Times New Roman" w:hAnsi="Times New Roman" w:cs="Times New Roman"/>
                <w:b/>
                <w:sz w:val="24"/>
                <w:szCs w:val="24"/>
                <w:lang w:eastAsia="es-CO"/>
              </w:rPr>
              <w:t>III</w:t>
            </w:r>
            <w:r w:rsidRPr="00CC6D4F">
              <w:rPr>
                <w:rFonts w:ascii="Times New Roman" w:eastAsia="Times New Roman" w:hAnsi="Times New Roman" w:cs="Times New Roman"/>
                <w:b/>
                <w:sz w:val="24"/>
                <w:szCs w:val="24"/>
                <w:lang w:eastAsia="es-CO"/>
              </w:rPr>
              <w:t xml:space="preserve"> TRIMESTRE 202</w:t>
            </w:r>
            <w:r>
              <w:rPr>
                <w:rFonts w:ascii="Times New Roman" w:eastAsia="Times New Roman" w:hAnsi="Times New Roman" w:cs="Times New Roman"/>
                <w:b/>
                <w:sz w:val="24"/>
                <w:szCs w:val="24"/>
                <w:lang w:eastAsia="es-CO"/>
              </w:rPr>
              <w:t>1</w:t>
            </w:r>
          </w:p>
        </w:tc>
      </w:tr>
      <w:tr w:rsidR="000A07AB" w:rsidRPr="00CC6D4F" w14:paraId="54899725" w14:textId="77777777" w:rsidTr="009F47E3">
        <w:trPr>
          <w:trHeight w:val="328"/>
        </w:trPr>
        <w:tc>
          <w:tcPr>
            <w:cnfStyle w:val="001000000000" w:firstRow="0" w:lastRow="0" w:firstColumn="1" w:lastColumn="0" w:oddVBand="0" w:evenVBand="0" w:oddHBand="0" w:evenHBand="0" w:firstRowFirstColumn="0" w:firstRowLastColumn="0" w:lastRowFirstColumn="0" w:lastRowLastColumn="0"/>
            <w:tcW w:w="3234" w:type="dxa"/>
          </w:tcPr>
          <w:p w14:paraId="7F29D8A8" w14:textId="77777777" w:rsidR="000A07AB" w:rsidRPr="00CC6D4F" w:rsidRDefault="000A07AB" w:rsidP="009F47E3">
            <w:pPr>
              <w:jc w:val="both"/>
              <w:rPr>
                <w:rFonts w:ascii="Arial" w:eastAsia="Arial" w:hAnsi="Arial" w:cs="Arial"/>
                <w:sz w:val="24"/>
                <w:szCs w:val="24"/>
                <w:lang w:eastAsia="es-CO" w:bidi="es-CO"/>
              </w:rPr>
            </w:pPr>
            <w:r w:rsidRPr="00CC6D4F">
              <w:rPr>
                <w:rFonts w:ascii="Arial" w:eastAsia="Times New Roman" w:hAnsi="Arial" w:cs="Arial"/>
                <w:color w:val="000000"/>
                <w:sz w:val="24"/>
                <w:szCs w:val="24"/>
                <w:lang w:eastAsia="es-CO" w:bidi="es-CO"/>
              </w:rPr>
              <w:t xml:space="preserve">Libre </w:t>
            </w:r>
            <w:proofErr w:type="spellStart"/>
            <w:r w:rsidRPr="00CC6D4F">
              <w:rPr>
                <w:rFonts w:ascii="Arial" w:eastAsia="Times New Roman" w:hAnsi="Arial" w:cs="Arial"/>
                <w:color w:val="000000"/>
                <w:sz w:val="24"/>
                <w:szCs w:val="24"/>
                <w:lang w:eastAsia="es-CO" w:bidi="es-CO"/>
              </w:rPr>
              <w:t>No</w:t>
            </w:r>
            <w:r>
              <w:rPr>
                <w:rFonts w:ascii="Arial" w:eastAsia="Times New Roman" w:hAnsi="Arial" w:cs="Arial"/>
                <w:color w:val="000000"/>
                <w:sz w:val="24"/>
                <w:szCs w:val="24"/>
                <w:lang w:eastAsia="es-CO" w:bidi="es-CO"/>
              </w:rPr>
              <w:t>m</w:t>
            </w:r>
            <w:r w:rsidRPr="00CC6D4F">
              <w:rPr>
                <w:rFonts w:ascii="Arial" w:eastAsia="Times New Roman" w:hAnsi="Arial" w:cs="Arial"/>
                <w:color w:val="000000"/>
                <w:sz w:val="24"/>
                <w:szCs w:val="24"/>
                <w:lang w:eastAsia="es-CO" w:bidi="es-CO"/>
              </w:rPr>
              <w:t>bramiento</w:t>
            </w:r>
            <w:proofErr w:type="spellEnd"/>
          </w:p>
        </w:tc>
        <w:tc>
          <w:tcPr>
            <w:tcW w:w="736" w:type="dxa"/>
          </w:tcPr>
          <w:p w14:paraId="0369A217"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9</w:t>
            </w:r>
          </w:p>
        </w:tc>
        <w:tc>
          <w:tcPr>
            <w:tcW w:w="3234" w:type="dxa"/>
          </w:tcPr>
          <w:p w14:paraId="067C05FB" w14:textId="77777777" w:rsidR="000A07AB" w:rsidRPr="00CC6D4F" w:rsidRDefault="000A07AB" w:rsidP="009F47E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s-CO" w:bidi="es-CO"/>
              </w:rPr>
            </w:pPr>
            <w:r w:rsidRPr="00CC6D4F">
              <w:rPr>
                <w:rFonts w:ascii="Arial" w:eastAsia="Times New Roman" w:hAnsi="Arial" w:cs="Arial"/>
                <w:b/>
                <w:bCs/>
                <w:color w:val="000000"/>
                <w:sz w:val="24"/>
                <w:szCs w:val="24"/>
                <w:lang w:eastAsia="es-CO" w:bidi="es-CO"/>
              </w:rPr>
              <w:t xml:space="preserve">Libre </w:t>
            </w:r>
            <w:proofErr w:type="spellStart"/>
            <w:r w:rsidRPr="00CC6D4F">
              <w:rPr>
                <w:rFonts w:ascii="Arial" w:eastAsia="Times New Roman" w:hAnsi="Arial" w:cs="Arial"/>
                <w:b/>
                <w:bCs/>
                <w:color w:val="000000"/>
                <w:sz w:val="24"/>
                <w:szCs w:val="24"/>
                <w:lang w:eastAsia="es-CO" w:bidi="es-CO"/>
              </w:rPr>
              <w:t>Nombramiento</w:t>
            </w:r>
            <w:proofErr w:type="spellEnd"/>
          </w:p>
        </w:tc>
        <w:tc>
          <w:tcPr>
            <w:tcW w:w="736" w:type="dxa"/>
          </w:tcPr>
          <w:p w14:paraId="5EFE1572"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8</w:t>
            </w:r>
          </w:p>
        </w:tc>
      </w:tr>
      <w:tr w:rsidR="000A07AB" w:rsidRPr="00CC6D4F" w14:paraId="38944893" w14:textId="77777777" w:rsidTr="009F4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4" w:type="dxa"/>
          </w:tcPr>
          <w:p w14:paraId="3D785363" w14:textId="77777777" w:rsidR="000A07AB" w:rsidRPr="00CC6D4F" w:rsidRDefault="000A07AB" w:rsidP="009F47E3">
            <w:pPr>
              <w:jc w:val="both"/>
              <w:rPr>
                <w:rFonts w:ascii="Arial" w:eastAsia="Arial" w:hAnsi="Arial" w:cs="Arial"/>
                <w:sz w:val="24"/>
                <w:szCs w:val="24"/>
                <w:lang w:eastAsia="es-CO" w:bidi="es-CO"/>
              </w:rPr>
            </w:pPr>
            <w:r w:rsidRPr="00CC6D4F">
              <w:rPr>
                <w:rFonts w:ascii="Arial" w:eastAsia="Times New Roman" w:hAnsi="Arial" w:cs="Arial"/>
                <w:color w:val="000000"/>
                <w:sz w:val="24"/>
                <w:szCs w:val="24"/>
                <w:lang w:eastAsia="es-CO" w:bidi="es-CO"/>
              </w:rPr>
              <w:t>Planta</w:t>
            </w:r>
          </w:p>
        </w:tc>
        <w:tc>
          <w:tcPr>
            <w:tcW w:w="736" w:type="dxa"/>
          </w:tcPr>
          <w:p w14:paraId="4C23DAD9" w14:textId="77777777" w:rsidR="000A07AB" w:rsidRPr="00CC6D4F" w:rsidRDefault="000A07AB" w:rsidP="009F47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0</w:t>
            </w:r>
          </w:p>
        </w:tc>
        <w:tc>
          <w:tcPr>
            <w:tcW w:w="3234" w:type="dxa"/>
          </w:tcPr>
          <w:p w14:paraId="168FA787" w14:textId="77777777" w:rsidR="000A07AB" w:rsidRPr="00CC6D4F" w:rsidRDefault="000A07AB" w:rsidP="009F47E3">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lang w:eastAsia="es-CO" w:bidi="es-CO"/>
              </w:rPr>
            </w:pPr>
            <w:r w:rsidRPr="00CC6D4F">
              <w:rPr>
                <w:rFonts w:ascii="Arial" w:eastAsia="Times New Roman" w:hAnsi="Arial" w:cs="Arial"/>
                <w:b/>
                <w:bCs/>
                <w:color w:val="000000"/>
                <w:sz w:val="24"/>
                <w:szCs w:val="24"/>
                <w:lang w:eastAsia="es-CO" w:bidi="es-CO"/>
              </w:rPr>
              <w:t>Planta</w:t>
            </w:r>
          </w:p>
        </w:tc>
        <w:tc>
          <w:tcPr>
            <w:tcW w:w="736" w:type="dxa"/>
          </w:tcPr>
          <w:p w14:paraId="201AA0B7" w14:textId="77777777" w:rsidR="000A07AB" w:rsidRPr="00CC6D4F" w:rsidRDefault="000A07AB" w:rsidP="009F47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0</w:t>
            </w:r>
          </w:p>
        </w:tc>
      </w:tr>
      <w:tr w:rsidR="000A07AB" w:rsidRPr="00CC6D4F" w14:paraId="51092536" w14:textId="77777777" w:rsidTr="009F47E3">
        <w:tc>
          <w:tcPr>
            <w:cnfStyle w:val="001000000000" w:firstRow="0" w:lastRow="0" w:firstColumn="1" w:lastColumn="0" w:oddVBand="0" w:evenVBand="0" w:oddHBand="0" w:evenHBand="0" w:firstRowFirstColumn="0" w:firstRowLastColumn="0" w:lastRowFirstColumn="0" w:lastRowLastColumn="0"/>
            <w:tcW w:w="3234" w:type="dxa"/>
          </w:tcPr>
          <w:p w14:paraId="2BB0FCCE" w14:textId="77777777" w:rsidR="000A07AB" w:rsidRPr="00CC6D4F" w:rsidRDefault="000A07AB" w:rsidP="009F47E3">
            <w:pPr>
              <w:jc w:val="both"/>
              <w:rPr>
                <w:rFonts w:ascii="Arial" w:eastAsia="Arial" w:hAnsi="Arial" w:cs="Arial"/>
                <w:sz w:val="24"/>
                <w:szCs w:val="24"/>
                <w:lang w:eastAsia="es-CO" w:bidi="es-CO"/>
              </w:rPr>
            </w:pPr>
            <w:proofErr w:type="spellStart"/>
            <w:r w:rsidRPr="00CC6D4F">
              <w:rPr>
                <w:rFonts w:ascii="Arial" w:eastAsia="Times New Roman" w:hAnsi="Arial" w:cs="Arial"/>
                <w:color w:val="000000"/>
                <w:sz w:val="24"/>
                <w:szCs w:val="24"/>
                <w:lang w:eastAsia="es-CO" w:bidi="es-CO"/>
              </w:rPr>
              <w:t>Contratista</w:t>
            </w:r>
            <w:proofErr w:type="spellEnd"/>
          </w:p>
        </w:tc>
        <w:tc>
          <w:tcPr>
            <w:tcW w:w="736" w:type="dxa"/>
          </w:tcPr>
          <w:p w14:paraId="3FDF36AA"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52</w:t>
            </w:r>
          </w:p>
        </w:tc>
        <w:tc>
          <w:tcPr>
            <w:tcW w:w="3234" w:type="dxa"/>
          </w:tcPr>
          <w:p w14:paraId="7140EAB3" w14:textId="77777777" w:rsidR="000A07AB" w:rsidRPr="00CC6D4F" w:rsidRDefault="000A07AB" w:rsidP="009F47E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s-CO" w:bidi="es-CO"/>
              </w:rPr>
            </w:pPr>
            <w:proofErr w:type="spellStart"/>
            <w:r w:rsidRPr="00CC6D4F">
              <w:rPr>
                <w:rFonts w:ascii="Arial" w:eastAsia="Times New Roman" w:hAnsi="Arial" w:cs="Arial"/>
                <w:b/>
                <w:bCs/>
                <w:color w:val="000000"/>
                <w:sz w:val="24"/>
                <w:szCs w:val="24"/>
                <w:lang w:eastAsia="es-CO" w:bidi="es-CO"/>
              </w:rPr>
              <w:t>Contratista</w:t>
            </w:r>
            <w:proofErr w:type="spellEnd"/>
          </w:p>
        </w:tc>
        <w:tc>
          <w:tcPr>
            <w:tcW w:w="736" w:type="dxa"/>
          </w:tcPr>
          <w:p w14:paraId="6278D826"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59</w:t>
            </w:r>
          </w:p>
        </w:tc>
      </w:tr>
      <w:tr w:rsidR="000A07AB" w:rsidRPr="00CC6D4F" w14:paraId="137C96EC" w14:textId="77777777" w:rsidTr="009F47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4" w:type="dxa"/>
          </w:tcPr>
          <w:p w14:paraId="66E568AC" w14:textId="77777777" w:rsidR="000A07AB" w:rsidRPr="00CC6D4F" w:rsidRDefault="000A07AB" w:rsidP="009F47E3">
            <w:pPr>
              <w:jc w:val="both"/>
              <w:rPr>
                <w:rFonts w:ascii="Arial" w:eastAsia="Arial" w:hAnsi="Arial" w:cs="Arial"/>
                <w:sz w:val="24"/>
                <w:szCs w:val="24"/>
                <w:lang w:eastAsia="es-CO" w:bidi="es-CO"/>
              </w:rPr>
            </w:pPr>
            <w:proofErr w:type="spellStart"/>
            <w:r w:rsidRPr="00CC6D4F">
              <w:rPr>
                <w:rFonts w:ascii="Arial" w:eastAsia="Times New Roman" w:hAnsi="Arial" w:cs="Arial"/>
                <w:color w:val="000000"/>
                <w:sz w:val="24"/>
                <w:szCs w:val="24"/>
                <w:lang w:eastAsia="es-CO" w:bidi="es-CO"/>
              </w:rPr>
              <w:t>Provisionales</w:t>
            </w:r>
            <w:proofErr w:type="spellEnd"/>
          </w:p>
        </w:tc>
        <w:tc>
          <w:tcPr>
            <w:tcW w:w="736" w:type="dxa"/>
          </w:tcPr>
          <w:p w14:paraId="09ED8972" w14:textId="77777777" w:rsidR="000A07AB" w:rsidRPr="00CC6D4F" w:rsidRDefault="000A07AB" w:rsidP="009F47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9</w:t>
            </w:r>
          </w:p>
        </w:tc>
        <w:tc>
          <w:tcPr>
            <w:tcW w:w="3234" w:type="dxa"/>
          </w:tcPr>
          <w:p w14:paraId="78BE90A9" w14:textId="77777777" w:rsidR="000A07AB" w:rsidRPr="00CC6D4F" w:rsidRDefault="000A07AB" w:rsidP="009F47E3">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lang w:eastAsia="es-CO" w:bidi="es-CO"/>
              </w:rPr>
            </w:pPr>
            <w:proofErr w:type="spellStart"/>
            <w:r w:rsidRPr="00CC6D4F">
              <w:rPr>
                <w:rFonts w:ascii="Arial" w:eastAsia="Times New Roman" w:hAnsi="Arial" w:cs="Arial"/>
                <w:b/>
                <w:bCs/>
                <w:color w:val="000000"/>
                <w:sz w:val="24"/>
                <w:szCs w:val="24"/>
                <w:lang w:eastAsia="es-CO" w:bidi="es-CO"/>
              </w:rPr>
              <w:t>Provisionales</w:t>
            </w:r>
            <w:proofErr w:type="spellEnd"/>
          </w:p>
        </w:tc>
        <w:tc>
          <w:tcPr>
            <w:tcW w:w="736" w:type="dxa"/>
          </w:tcPr>
          <w:p w14:paraId="41C090B7" w14:textId="77777777" w:rsidR="000A07AB" w:rsidRPr="00CC6D4F" w:rsidRDefault="000A07AB" w:rsidP="009F47E3">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9</w:t>
            </w:r>
          </w:p>
        </w:tc>
      </w:tr>
      <w:tr w:rsidR="000A07AB" w:rsidRPr="00CC6D4F" w14:paraId="27056E2C" w14:textId="77777777" w:rsidTr="009F47E3">
        <w:trPr>
          <w:trHeight w:val="258"/>
        </w:trPr>
        <w:tc>
          <w:tcPr>
            <w:cnfStyle w:val="001000000000" w:firstRow="0" w:lastRow="0" w:firstColumn="1" w:lastColumn="0" w:oddVBand="0" w:evenVBand="0" w:oddHBand="0" w:evenHBand="0" w:firstRowFirstColumn="0" w:firstRowLastColumn="0" w:lastRowFirstColumn="0" w:lastRowLastColumn="0"/>
            <w:tcW w:w="3234" w:type="dxa"/>
          </w:tcPr>
          <w:p w14:paraId="2DB6986E" w14:textId="77777777" w:rsidR="000A07AB" w:rsidRPr="00CC6D4F" w:rsidRDefault="000A07AB" w:rsidP="009F47E3">
            <w:pPr>
              <w:jc w:val="both"/>
              <w:rPr>
                <w:rFonts w:ascii="Arial" w:eastAsia="Arial" w:hAnsi="Arial" w:cs="Arial"/>
                <w:sz w:val="24"/>
                <w:szCs w:val="24"/>
                <w:lang w:eastAsia="es-CO" w:bidi="es-CO"/>
              </w:rPr>
            </w:pPr>
            <w:proofErr w:type="spellStart"/>
            <w:r w:rsidRPr="00CC6D4F">
              <w:rPr>
                <w:rFonts w:ascii="Arial" w:eastAsia="Times New Roman" w:hAnsi="Arial" w:cs="Arial"/>
                <w:color w:val="000000"/>
                <w:sz w:val="24"/>
                <w:szCs w:val="24"/>
                <w:lang w:eastAsia="es-CO" w:bidi="es-CO"/>
              </w:rPr>
              <w:t>Encargos</w:t>
            </w:r>
            <w:proofErr w:type="spellEnd"/>
          </w:p>
        </w:tc>
        <w:tc>
          <w:tcPr>
            <w:tcW w:w="736" w:type="dxa"/>
          </w:tcPr>
          <w:p w14:paraId="51026C62"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0</w:t>
            </w:r>
          </w:p>
        </w:tc>
        <w:tc>
          <w:tcPr>
            <w:tcW w:w="3234" w:type="dxa"/>
          </w:tcPr>
          <w:p w14:paraId="6504BCD2" w14:textId="77777777" w:rsidR="000A07AB" w:rsidRPr="00CC6D4F" w:rsidRDefault="000A07AB" w:rsidP="009F47E3">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lang w:eastAsia="es-CO" w:bidi="es-CO"/>
              </w:rPr>
            </w:pPr>
            <w:proofErr w:type="spellStart"/>
            <w:r w:rsidRPr="00CC6D4F">
              <w:rPr>
                <w:rFonts w:ascii="Arial" w:eastAsia="Times New Roman" w:hAnsi="Arial" w:cs="Arial"/>
                <w:b/>
                <w:bCs/>
                <w:color w:val="000000"/>
                <w:sz w:val="24"/>
                <w:szCs w:val="24"/>
                <w:lang w:eastAsia="es-CO" w:bidi="es-CO"/>
              </w:rPr>
              <w:t>Encargos</w:t>
            </w:r>
            <w:proofErr w:type="spellEnd"/>
          </w:p>
        </w:tc>
        <w:tc>
          <w:tcPr>
            <w:tcW w:w="736" w:type="dxa"/>
          </w:tcPr>
          <w:p w14:paraId="01CCC099" w14:textId="77777777" w:rsidR="000A07AB" w:rsidRPr="00CC6D4F" w:rsidRDefault="000A07AB" w:rsidP="009F47E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eastAsia="es-CO" w:bidi="es-CO"/>
              </w:rPr>
            </w:pPr>
            <w:r>
              <w:rPr>
                <w:rFonts w:ascii="Arial" w:eastAsia="Arial" w:hAnsi="Arial" w:cs="Arial"/>
                <w:sz w:val="24"/>
                <w:szCs w:val="24"/>
                <w:lang w:eastAsia="es-CO" w:bidi="es-CO"/>
              </w:rPr>
              <w:t>0</w:t>
            </w:r>
          </w:p>
        </w:tc>
      </w:tr>
    </w:tbl>
    <w:p w14:paraId="1660577F" w14:textId="52B72F6D" w:rsidR="000A07AB" w:rsidRPr="008C7ABB" w:rsidRDefault="008C7ABB" w:rsidP="00E10C5A">
      <w:pPr>
        <w:rPr>
          <w:rFonts w:ascii="Arial" w:hAnsi="Arial" w:cs="Arial"/>
          <w:b/>
          <w:bCs/>
          <w:i/>
          <w:iCs/>
          <w:sz w:val="18"/>
          <w:szCs w:val="18"/>
          <w:lang w:val="es-CO"/>
        </w:rPr>
      </w:pPr>
      <w:r w:rsidRPr="008C7ABB">
        <w:rPr>
          <w:rFonts w:ascii="Arial" w:hAnsi="Arial" w:cs="Arial"/>
          <w:b/>
          <w:bCs/>
          <w:i/>
          <w:iCs/>
          <w:sz w:val="18"/>
          <w:szCs w:val="18"/>
          <w:lang w:val="es-CO"/>
        </w:rPr>
        <w:t>Fuente oficina talento humano, tabla No. 1</w:t>
      </w:r>
    </w:p>
    <w:p w14:paraId="451624AD" w14:textId="5AD29D3D" w:rsidR="000A07AB" w:rsidRDefault="000A07AB" w:rsidP="000A07AB">
      <w:pPr>
        <w:jc w:val="both"/>
        <w:rPr>
          <w:rFonts w:ascii="Arial" w:hAnsi="Arial" w:cs="Arial"/>
          <w:sz w:val="24"/>
          <w:szCs w:val="24"/>
          <w:lang w:val="es-CO"/>
        </w:rPr>
      </w:pPr>
      <w:r w:rsidRPr="00687977">
        <w:rPr>
          <w:rFonts w:ascii="Arial" w:hAnsi="Arial" w:cs="Arial"/>
          <w:sz w:val="24"/>
          <w:szCs w:val="24"/>
          <w:lang w:val="es-CO"/>
        </w:rPr>
        <w:t xml:space="preserve">Como se puede evidenciar, hubo un aumento en el personal contratista del </w:t>
      </w:r>
      <w:r w:rsidR="00F62575">
        <w:rPr>
          <w:rFonts w:ascii="Arial" w:hAnsi="Arial" w:cs="Arial"/>
          <w:sz w:val="24"/>
          <w:szCs w:val="24"/>
          <w:lang w:val="es-CO"/>
        </w:rPr>
        <w:t>9</w:t>
      </w:r>
      <w:r w:rsidRPr="00687977">
        <w:rPr>
          <w:rFonts w:ascii="Arial" w:hAnsi="Arial" w:cs="Arial"/>
          <w:sz w:val="24"/>
          <w:szCs w:val="24"/>
          <w:lang w:val="es-CO"/>
        </w:rPr>
        <w:t>%, esto es debido a que en el periodo 2020 las actividades se vieron afectadas por la pandemia del covid-19.</w:t>
      </w:r>
    </w:p>
    <w:p w14:paraId="5CE704FA" w14:textId="77777777" w:rsidR="00075FD6" w:rsidRDefault="00075FD6" w:rsidP="000A07AB">
      <w:pPr>
        <w:jc w:val="both"/>
        <w:rPr>
          <w:rFonts w:ascii="Arial" w:hAnsi="Arial" w:cs="Arial"/>
          <w:sz w:val="24"/>
          <w:szCs w:val="24"/>
          <w:lang w:val="es-CO"/>
        </w:rPr>
      </w:pPr>
    </w:p>
    <w:tbl>
      <w:tblPr>
        <w:tblW w:w="8970" w:type="dxa"/>
        <w:tblInd w:w="-8" w:type="dxa"/>
        <w:tblCellMar>
          <w:top w:w="15" w:type="dxa"/>
          <w:left w:w="15" w:type="dxa"/>
          <w:bottom w:w="15" w:type="dxa"/>
          <w:right w:w="15" w:type="dxa"/>
        </w:tblCellMar>
        <w:tblLook w:val="04A0" w:firstRow="1" w:lastRow="0" w:firstColumn="1" w:lastColumn="0" w:noHBand="0" w:noVBand="1"/>
      </w:tblPr>
      <w:tblGrid>
        <w:gridCol w:w="1632"/>
        <w:gridCol w:w="450"/>
        <w:gridCol w:w="1917"/>
        <w:gridCol w:w="464"/>
        <w:gridCol w:w="1812"/>
        <w:gridCol w:w="479"/>
        <w:gridCol w:w="1678"/>
        <w:gridCol w:w="538"/>
      </w:tblGrid>
      <w:tr w:rsidR="00F62575" w:rsidRPr="00446695" w14:paraId="64DF6EBC" w14:textId="77777777" w:rsidTr="00D959BB">
        <w:trPr>
          <w:trHeight w:val="315"/>
        </w:trPr>
        <w:tc>
          <w:tcPr>
            <w:tcW w:w="8970" w:type="dxa"/>
            <w:gridSpan w:val="8"/>
            <w:tcBorders>
              <w:top w:val="single" w:sz="6" w:space="0" w:color="4F81BD"/>
              <w:left w:val="single" w:sz="6" w:space="0" w:color="4F81BD"/>
              <w:bottom w:val="single" w:sz="6" w:space="0" w:color="4F81BD"/>
              <w:right w:val="single" w:sz="6" w:space="0" w:color="4F81BD"/>
            </w:tcBorders>
            <w:shd w:val="clear" w:color="auto" w:fill="4F81BD"/>
            <w:tcMar>
              <w:top w:w="0" w:type="dxa"/>
              <w:left w:w="105" w:type="dxa"/>
              <w:bottom w:w="0" w:type="dxa"/>
              <w:right w:w="105" w:type="dxa"/>
            </w:tcMar>
            <w:hideMark/>
          </w:tcPr>
          <w:p w14:paraId="727DF2FB" w14:textId="77777777" w:rsidR="00F62575" w:rsidRPr="00687977" w:rsidRDefault="00F62575" w:rsidP="00D959BB">
            <w:pPr>
              <w:spacing w:after="0" w:line="240" w:lineRule="auto"/>
              <w:rPr>
                <w:rFonts w:ascii="Times New Roman" w:eastAsia="Times New Roman" w:hAnsi="Times New Roman" w:cs="Times New Roman"/>
                <w:sz w:val="24"/>
                <w:szCs w:val="24"/>
                <w:lang w:val="es-CO" w:eastAsia="es-CO"/>
              </w:rPr>
            </w:pPr>
            <w:proofErr w:type="gramStart"/>
            <w:r w:rsidRPr="00687977">
              <w:rPr>
                <w:rFonts w:ascii="Arial" w:eastAsia="Times New Roman" w:hAnsi="Arial" w:cs="Arial"/>
                <w:b/>
                <w:bCs/>
                <w:sz w:val="24"/>
                <w:szCs w:val="24"/>
                <w:lang w:val="es-CO" w:eastAsia="es-CO"/>
              </w:rPr>
              <w:t>PERSONAL  DE</w:t>
            </w:r>
            <w:proofErr w:type="gramEnd"/>
            <w:r w:rsidRPr="00687977">
              <w:rPr>
                <w:rFonts w:ascii="Arial" w:eastAsia="Times New Roman" w:hAnsi="Arial" w:cs="Arial"/>
                <w:b/>
                <w:bCs/>
                <w:sz w:val="24"/>
                <w:szCs w:val="24"/>
                <w:lang w:val="es-CO" w:eastAsia="es-CO"/>
              </w:rPr>
              <w:t xml:space="preserve"> APOYO DEL ESTABLECIMIENTO PÚBLICO AMBIENTAL</w:t>
            </w:r>
          </w:p>
        </w:tc>
      </w:tr>
      <w:tr w:rsidR="00F62575" w:rsidRPr="00687977" w14:paraId="4A62F99B" w14:textId="77777777" w:rsidTr="00D959BB">
        <w:trPr>
          <w:trHeight w:val="210"/>
        </w:trPr>
        <w:tc>
          <w:tcPr>
            <w:tcW w:w="4463" w:type="dxa"/>
            <w:gridSpan w:val="4"/>
            <w:tcBorders>
              <w:top w:val="nil"/>
              <w:left w:val="double" w:sz="12" w:space="0" w:color="4F81BD"/>
              <w:bottom w:val="double" w:sz="12" w:space="0" w:color="4F81BD"/>
              <w:right w:val="double" w:sz="12" w:space="0" w:color="4F81BD"/>
            </w:tcBorders>
            <w:shd w:val="clear" w:color="auto" w:fill="DBE5F1"/>
            <w:tcMar>
              <w:top w:w="0" w:type="dxa"/>
              <w:left w:w="105" w:type="dxa"/>
              <w:bottom w:w="0" w:type="dxa"/>
              <w:right w:w="105" w:type="dxa"/>
            </w:tcMar>
            <w:hideMark/>
          </w:tcPr>
          <w:p w14:paraId="6AA7FD55" w14:textId="77777777"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Arial" w:eastAsia="Times New Roman" w:hAnsi="Arial" w:cs="Arial"/>
                <w:b/>
                <w:bCs/>
                <w:sz w:val="20"/>
                <w:szCs w:val="20"/>
                <w:lang w:eastAsia="es-CO"/>
              </w:rPr>
              <w:t>PERSONAL DE FUNCIONAMIENTO</w:t>
            </w:r>
          </w:p>
        </w:tc>
        <w:tc>
          <w:tcPr>
            <w:tcW w:w="4507" w:type="dxa"/>
            <w:gridSpan w:val="4"/>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49AE9A51" w14:textId="77777777"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Arial" w:eastAsia="Times New Roman" w:hAnsi="Arial" w:cs="Arial"/>
                <w:b/>
                <w:bCs/>
                <w:sz w:val="20"/>
                <w:szCs w:val="20"/>
                <w:lang w:eastAsia="es-CO"/>
              </w:rPr>
              <w:t>PERSONAL DE INVERSIÓN</w:t>
            </w:r>
          </w:p>
        </w:tc>
      </w:tr>
      <w:tr w:rsidR="00F62575" w:rsidRPr="00687977" w14:paraId="4E01780C" w14:textId="77777777" w:rsidTr="00D959BB">
        <w:trPr>
          <w:trHeight w:val="195"/>
        </w:trPr>
        <w:tc>
          <w:tcPr>
            <w:tcW w:w="2082" w:type="dxa"/>
            <w:gridSpan w:val="2"/>
            <w:tcBorders>
              <w:top w:val="nil"/>
              <w:left w:val="double" w:sz="12" w:space="0" w:color="4F81BD"/>
              <w:bottom w:val="double" w:sz="12" w:space="0" w:color="4F81BD"/>
              <w:right w:val="double" w:sz="12" w:space="0" w:color="4F81BD"/>
            </w:tcBorders>
            <w:tcMar>
              <w:top w:w="0" w:type="dxa"/>
              <w:left w:w="105" w:type="dxa"/>
              <w:bottom w:w="0" w:type="dxa"/>
              <w:right w:w="105" w:type="dxa"/>
            </w:tcMar>
            <w:hideMark/>
          </w:tcPr>
          <w:p w14:paraId="520E8387" w14:textId="3F3784CC"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Times New Roman" w:eastAsia="Times New Roman" w:hAnsi="Times New Roman" w:cs="Times New Roman"/>
                <w:sz w:val="24"/>
                <w:szCs w:val="24"/>
                <w:lang w:eastAsia="es-CO"/>
              </w:rPr>
              <w:t>III-</w:t>
            </w:r>
            <w:proofErr w:type="spellStart"/>
            <w:r w:rsidRPr="00687977">
              <w:rPr>
                <w:rFonts w:ascii="Times New Roman" w:eastAsia="Times New Roman" w:hAnsi="Times New Roman" w:cs="Times New Roman"/>
                <w:sz w:val="24"/>
                <w:szCs w:val="24"/>
                <w:lang w:eastAsia="es-CO"/>
              </w:rPr>
              <w:t>Trimestre</w:t>
            </w:r>
            <w:proofErr w:type="spellEnd"/>
            <w:r w:rsidRPr="00687977">
              <w:rPr>
                <w:rFonts w:ascii="Times New Roman" w:eastAsia="Times New Roman" w:hAnsi="Times New Roman" w:cs="Times New Roman"/>
                <w:sz w:val="24"/>
                <w:szCs w:val="24"/>
                <w:lang w:eastAsia="es-CO"/>
              </w:rPr>
              <w:t xml:space="preserve"> 2020</w:t>
            </w:r>
          </w:p>
        </w:tc>
        <w:tc>
          <w:tcPr>
            <w:tcW w:w="2381" w:type="dxa"/>
            <w:gridSpan w:val="2"/>
            <w:tcBorders>
              <w:top w:val="nil"/>
              <w:left w:val="nil"/>
              <w:bottom w:val="double" w:sz="12" w:space="0" w:color="4F81BD"/>
              <w:right w:val="double" w:sz="12" w:space="0" w:color="4F81BD"/>
            </w:tcBorders>
            <w:tcMar>
              <w:top w:w="0" w:type="dxa"/>
              <w:left w:w="105" w:type="dxa"/>
              <w:bottom w:w="0" w:type="dxa"/>
              <w:right w:w="105" w:type="dxa"/>
            </w:tcMar>
            <w:hideMark/>
          </w:tcPr>
          <w:p w14:paraId="11D8B22E" w14:textId="51D931D8"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Times New Roman" w:eastAsia="Times New Roman" w:hAnsi="Times New Roman" w:cs="Times New Roman"/>
                <w:sz w:val="24"/>
                <w:szCs w:val="24"/>
                <w:lang w:eastAsia="es-CO"/>
              </w:rPr>
              <w:t xml:space="preserve"> III </w:t>
            </w:r>
            <w:proofErr w:type="spellStart"/>
            <w:r w:rsidRPr="00687977">
              <w:rPr>
                <w:rFonts w:ascii="Times New Roman" w:eastAsia="Times New Roman" w:hAnsi="Times New Roman" w:cs="Times New Roman"/>
                <w:sz w:val="24"/>
                <w:szCs w:val="24"/>
                <w:lang w:eastAsia="es-CO"/>
              </w:rPr>
              <w:t>Trimestre</w:t>
            </w:r>
            <w:proofErr w:type="spellEnd"/>
            <w:r w:rsidRPr="00687977">
              <w:rPr>
                <w:rFonts w:ascii="Times New Roman" w:eastAsia="Times New Roman" w:hAnsi="Times New Roman" w:cs="Times New Roman"/>
                <w:sz w:val="24"/>
                <w:szCs w:val="24"/>
                <w:lang w:eastAsia="es-CO"/>
              </w:rPr>
              <w:t xml:space="preserve"> 2021</w:t>
            </w:r>
          </w:p>
        </w:tc>
        <w:tc>
          <w:tcPr>
            <w:tcW w:w="2291" w:type="dxa"/>
            <w:gridSpan w:val="2"/>
            <w:tcBorders>
              <w:top w:val="nil"/>
              <w:left w:val="nil"/>
              <w:bottom w:val="double" w:sz="12" w:space="0" w:color="4F81BD"/>
              <w:right w:val="double" w:sz="12" w:space="0" w:color="4F81BD"/>
            </w:tcBorders>
            <w:tcMar>
              <w:top w:w="0" w:type="dxa"/>
              <w:left w:w="105" w:type="dxa"/>
              <w:bottom w:w="0" w:type="dxa"/>
              <w:right w:w="105" w:type="dxa"/>
            </w:tcMar>
            <w:hideMark/>
          </w:tcPr>
          <w:p w14:paraId="413843E9" w14:textId="4425464F"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Times New Roman" w:eastAsia="Times New Roman" w:hAnsi="Times New Roman" w:cs="Times New Roman"/>
                <w:sz w:val="24"/>
                <w:szCs w:val="24"/>
                <w:lang w:eastAsia="es-CO"/>
              </w:rPr>
              <w:t xml:space="preserve">III </w:t>
            </w:r>
            <w:proofErr w:type="spellStart"/>
            <w:r w:rsidRPr="00687977">
              <w:rPr>
                <w:rFonts w:ascii="Times New Roman" w:eastAsia="Times New Roman" w:hAnsi="Times New Roman" w:cs="Times New Roman"/>
                <w:sz w:val="24"/>
                <w:szCs w:val="24"/>
                <w:lang w:eastAsia="es-CO"/>
              </w:rPr>
              <w:t>Trimestre</w:t>
            </w:r>
            <w:proofErr w:type="spellEnd"/>
            <w:r w:rsidRPr="00687977">
              <w:rPr>
                <w:rFonts w:ascii="Times New Roman" w:eastAsia="Times New Roman" w:hAnsi="Times New Roman" w:cs="Times New Roman"/>
                <w:sz w:val="24"/>
                <w:szCs w:val="24"/>
                <w:lang w:eastAsia="es-CO"/>
              </w:rPr>
              <w:t xml:space="preserve"> 2020</w:t>
            </w:r>
          </w:p>
        </w:tc>
        <w:tc>
          <w:tcPr>
            <w:tcW w:w="2216" w:type="dxa"/>
            <w:gridSpan w:val="2"/>
            <w:tcBorders>
              <w:top w:val="nil"/>
              <w:left w:val="nil"/>
              <w:bottom w:val="double" w:sz="12" w:space="0" w:color="4F81BD"/>
              <w:right w:val="double" w:sz="12" w:space="0" w:color="4F81BD"/>
            </w:tcBorders>
            <w:tcMar>
              <w:top w:w="0" w:type="dxa"/>
              <w:left w:w="105" w:type="dxa"/>
              <w:bottom w:w="0" w:type="dxa"/>
              <w:right w:w="105" w:type="dxa"/>
            </w:tcMar>
            <w:hideMark/>
          </w:tcPr>
          <w:p w14:paraId="26921A23" w14:textId="1CA9E3AE" w:rsidR="00F62575" w:rsidRPr="00687977" w:rsidRDefault="00F62575" w:rsidP="00D959BB">
            <w:pPr>
              <w:spacing w:after="0" w:line="240" w:lineRule="auto"/>
              <w:rPr>
                <w:rFonts w:ascii="Times New Roman" w:eastAsia="Times New Roman" w:hAnsi="Times New Roman" w:cs="Times New Roman"/>
                <w:sz w:val="24"/>
                <w:szCs w:val="24"/>
                <w:lang w:eastAsia="es-CO"/>
              </w:rPr>
            </w:pPr>
            <w:r w:rsidRPr="00687977">
              <w:rPr>
                <w:rFonts w:ascii="Times New Roman" w:eastAsia="Times New Roman" w:hAnsi="Times New Roman" w:cs="Times New Roman"/>
                <w:sz w:val="24"/>
                <w:szCs w:val="24"/>
                <w:lang w:eastAsia="es-CO"/>
              </w:rPr>
              <w:t xml:space="preserve">III </w:t>
            </w:r>
            <w:proofErr w:type="spellStart"/>
            <w:r w:rsidRPr="00687977">
              <w:rPr>
                <w:rFonts w:ascii="Times New Roman" w:eastAsia="Times New Roman" w:hAnsi="Times New Roman" w:cs="Times New Roman"/>
                <w:sz w:val="24"/>
                <w:szCs w:val="24"/>
                <w:lang w:eastAsia="es-CO"/>
              </w:rPr>
              <w:t>Trimestre</w:t>
            </w:r>
            <w:proofErr w:type="spellEnd"/>
            <w:r w:rsidRPr="00687977">
              <w:rPr>
                <w:rFonts w:ascii="Times New Roman" w:eastAsia="Times New Roman" w:hAnsi="Times New Roman" w:cs="Times New Roman"/>
                <w:sz w:val="24"/>
                <w:szCs w:val="24"/>
                <w:lang w:eastAsia="es-CO"/>
              </w:rPr>
              <w:t xml:space="preserve"> 2021</w:t>
            </w:r>
          </w:p>
        </w:tc>
      </w:tr>
      <w:tr w:rsidR="00F62575" w:rsidRPr="00BF5DC0" w14:paraId="5B11457E" w14:textId="77777777" w:rsidTr="00D959BB">
        <w:trPr>
          <w:trHeight w:val="270"/>
        </w:trPr>
        <w:tc>
          <w:tcPr>
            <w:tcW w:w="1632" w:type="dxa"/>
            <w:tcBorders>
              <w:top w:val="nil"/>
              <w:left w:val="double" w:sz="12" w:space="0" w:color="4F81BD"/>
              <w:bottom w:val="double" w:sz="12" w:space="0" w:color="4F81BD"/>
              <w:right w:val="double" w:sz="12" w:space="0" w:color="4F81BD"/>
            </w:tcBorders>
            <w:shd w:val="clear" w:color="auto" w:fill="DBE5F1"/>
            <w:tcMar>
              <w:top w:w="0" w:type="dxa"/>
              <w:left w:w="105" w:type="dxa"/>
              <w:bottom w:w="0" w:type="dxa"/>
              <w:right w:w="105" w:type="dxa"/>
            </w:tcMar>
            <w:hideMark/>
          </w:tcPr>
          <w:p w14:paraId="29673B34"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Especialistas</w:t>
            </w:r>
            <w:proofErr w:type="spellEnd"/>
          </w:p>
        </w:tc>
        <w:tc>
          <w:tcPr>
            <w:tcW w:w="450"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7857015E"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w:t>
            </w:r>
            <w:r w:rsidRPr="00BF5DC0">
              <w:rPr>
                <w:rFonts w:ascii="Times New Roman" w:eastAsia="Times New Roman" w:hAnsi="Times New Roman" w:cs="Times New Roman"/>
                <w:sz w:val="24"/>
                <w:szCs w:val="24"/>
                <w:lang w:eastAsia="es-CO"/>
              </w:rPr>
              <w:t> </w:t>
            </w:r>
          </w:p>
        </w:tc>
        <w:tc>
          <w:tcPr>
            <w:tcW w:w="1917"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3CDC7E4A"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Especialistas</w:t>
            </w:r>
            <w:proofErr w:type="spellEnd"/>
          </w:p>
        </w:tc>
        <w:tc>
          <w:tcPr>
            <w:tcW w:w="464"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71E5C28F"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3</w:t>
            </w:r>
          </w:p>
        </w:tc>
        <w:tc>
          <w:tcPr>
            <w:tcW w:w="1812"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1665D473"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Especialistas</w:t>
            </w:r>
            <w:proofErr w:type="spellEnd"/>
          </w:p>
        </w:tc>
        <w:tc>
          <w:tcPr>
            <w:tcW w:w="479"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5B93F3DA"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67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55FED54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Especialistas</w:t>
            </w:r>
            <w:proofErr w:type="spellEnd"/>
          </w:p>
        </w:tc>
        <w:tc>
          <w:tcPr>
            <w:tcW w:w="53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2C47D709"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p>
        </w:tc>
      </w:tr>
      <w:tr w:rsidR="00F62575" w:rsidRPr="00BF5DC0" w14:paraId="7C693DAC" w14:textId="77777777" w:rsidTr="00D959BB">
        <w:trPr>
          <w:trHeight w:val="195"/>
        </w:trPr>
        <w:tc>
          <w:tcPr>
            <w:tcW w:w="1632" w:type="dxa"/>
            <w:tcBorders>
              <w:top w:val="nil"/>
              <w:left w:val="double" w:sz="12" w:space="0" w:color="4F81BD"/>
              <w:bottom w:val="double" w:sz="12" w:space="0" w:color="4F81BD"/>
              <w:right w:val="double" w:sz="12" w:space="0" w:color="4F81BD"/>
            </w:tcBorders>
            <w:tcMar>
              <w:top w:w="0" w:type="dxa"/>
              <w:left w:w="105" w:type="dxa"/>
              <w:bottom w:w="0" w:type="dxa"/>
              <w:right w:w="105" w:type="dxa"/>
            </w:tcMar>
            <w:hideMark/>
          </w:tcPr>
          <w:p w14:paraId="40A3C8B7"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Profesionales</w:t>
            </w:r>
            <w:proofErr w:type="spellEnd"/>
          </w:p>
        </w:tc>
        <w:tc>
          <w:tcPr>
            <w:tcW w:w="450" w:type="dxa"/>
            <w:tcBorders>
              <w:top w:val="nil"/>
              <w:left w:val="nil"/>
              <w:bottom w:val="double" w:sz="12" w:space="0" w:color="4F81BD"/>
              <w:right w:val="double" w:sz="12" w:space="0" w:color="4F81BD"/>
            </w:tcBorders>
            <w:tcMar>
              <w:top w:w="0" w:type="dxa"/>
              <w:left w:w="105" w:type="dxa"/>
              <w:bottom w:w="0" w:type="dxa"/>
              <w:right w:w="105" w:type="dxa"/>
            </w:tcMar>
            <w:hideMark/>
          </w:tcPr>
          <w:p w14:paraId="6657FB6E"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32</w:t>
            </w:r>
          </w:p>
        </w:tc>
        <w:tc>
          <w:tcPr>
            <w:tcW w:w="1917" w:type="dxa"/>
            <w:tcBorders>
              <w:top w:val="nil"/>
              <w:left w:val="nil"/>
              <w:bottom w:val="double" w:sz="12" w:space="0" w:color="4F81BD"/>
              <w:right w:val="double" w:sz="12" w:space="0" w:color="4F81BD"/>
            </w:tcBorders>
            <w:tcMar>
              <w:top w:w="0" w:type="dxa"/>
              <w:left w:w="105" w:type="dxa"/>
              <w:bottom w:w="0" w:type="dxa"/>
              <w:right w:w="105" w:type="dxa"/>
            </w:tcMar>
            <w:hideMark/>
          </w:tcPr>
          <w:p w14:paraId="58559AD4"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Profesionales</w:t>
            </w:r>
            <w:proofErr w:type="spellEnd"/>
          </w:p>
        </w:tc>
        <w:tc>
          <w:tcPr>
            <w:tcW w:w="464" w:type="dxa"/>
            <w:tcBorders>
              <w:top w:val="nil"/>
              <w:left w:val="nil"/>
              <w:bottom w:val="double" w:sz="12" w:space="0" w:color="4F81BD"/>
              <w:right w:val="double" w:sz="12" w:space="0" w:color="4F81BD"/>
            </w:tcBorders>
            <w:tcMar>
              <w:top w:w="0" w:type="dxa"/>
              <w:left w:w="105" w:type="dxa"/>
              <w:bottom w:w="0" w:type="dxa"/>
              <w:right w:w="105" w:type="dxa"/>
            </w:tcMar>
            <w:hideMark/>
          </w:tcPr>
          <w:p w14:paraId="6721981F"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w:t>
            </w:r>
          </w:p>
        </w:tc>
        <w:tc>
          <w:tcPr>
            <w:tcW w:w="1812" w:type="dxa"/>
            <w:tcBorders>
              <w:top w:val="nil"/>
              <w:left w:val="nil"/>
              <w:bottom w:val="double" w:sz="12" w:space="0" w:color="4F81BD"/>
              <w:right w:val="double" w:sz="12" w:space="0" w:color="4F81BD"/>
            </w:tcBorders>
            <w:tcMar>
              <w:top w:w="0" w:type="dxa"/>
              <w:left w:w="105" w:type="dxa"/>
              <w:bottom w:w="0" w:type="dxa"/>
              <w:right w:w="105" w:type="dxa"/>
            </w:tcMar>
            <w:hideMark/>
          </w:tcPr>
          <w:p w14:paraId="0ED5C6B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Profesionales</w:t>
            </w:r>
            <w:proofErr w:type="spellEnd"/>
          </w:p>
        </w:tc>
        <w:tc>
          <w:tcPr>
            <w:tcW w:w="479" w:type="dxa"/>
            <w:tcBorders>
              <w:top w:val="nil"/>
              <w:left w:val="nil"/>
              <w:bottom w:val="double" w:sz="12" w:space="0" w:color="4F81BD"/>
              <w:right w:val="double" w:sz="12" w:space="0" w:color="4F81BD"/>
            </w:tcBorders>
            <w:tcMar>
              <w:top w:w="0" w:type="dxa"/>
              <w:left w:w="105" w:type="dxa"/>
              <w:bottom w:w="0" w:type="dxa"/>
              <w:right w:w="105" w:type="dxa"/>
            </w:tcMar>
            <w:hideMark/>
          </w:tcPr>
          <w:p w14:paraId="3A341738"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678" w:type="dxa"/>
            <w:tcBorders>
              <w:top w:val="nil"/>
              <w:left w:val="nil"/>
              <w:bottom w:val="double" w:sz="12" w:space="0" w:color="4F81BD"/>
              <w:right w:val="double" w:sz="12" w:space="0" w:color="4F81BD"/>
            </w:tcBorders>
            <w:tcMar>
              <w:top w:w="0" w:type="dxa"/>
              <w:left w:w="105" w:type="dxa"/>
              <w:bottom w:w="0" w:type="dxa"/>
              <w:right w:w="105" w:type="dxa"/>
            </w:tcMar>
            <w:hideMark/>
          </w:tcPr>
          <w:p w14:paraId="7B6B8B8B"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Profesionales</w:t>
            </w:r>
            <w:proofErr w:type="spellEnd"/>
          </w:p>
        </w:tc>
        <w:tc>
          <w:tcPr>
            <w:tcW w:w="538" w:type="dxa"/>
            <w:tcBorders>
              <w:top w:val="nil"/>
              <w:left w:val="nil"/>
              <w:bottom w:val="double" w:sz="12" w:space="0" w:color="4F81BD"/>
              <w:right w:val="double" w:sz="12" w:space="0" w:color="4F81BD"/>
            </w:tcBorders>
            <w:tcMar>
              <w:top w:w="0" w:type="dxa"/>
              <w:left w:w="105" w:type="dxa"/>
              <w:bottom w:w="0" w:type="dxa"/>
              <w:right w:w="105" w:type="dxa"/>
            </w:tcMar>
            <w:hideMark/>
          </w:tcPr>
          <w:p w14:paraId="67D54948"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6</w:t>
            </w:r>
          </w:p>
        </w:tc>
      </w:tr>
      <w:tr w:rsidR="00F62575" w:rsidRPr="00BF5DC0" w14:paraId="61304E66" w14:textId="77777777" w:rsidTr="00D959BB">
        <w:trPr>
          <w:trHeight w:val="150"/>
        </w:trPr>
        <w:tc>
          <w:tcPr>
            <w:tcW w:w="1632" w:type="dxa"/>
            <w:tcBorders>
              <w:top w:val="nil"/>
              <w:left w:val="double" w:sz="12" w:space="0" w:color="4F81BD"/>
              <w:bottom w:val="double" w:sz="12" w:space="0" w:color="4F81BD"/>
              <w:right w:val="double" w:sz="12" w:space="0" w:color="4F81BD"/>
            </w:tcBorders>
            <w:shd w:val="clear" w:color="auto" w:fill="DBE5F1"/>
            <w:tcMar>
              <w:top w:w="0" w:type="dxa"/>
              <w:left w:w="105" w:type="dxa"/>
              <w:bottom w:w="0" w:type="dxa"/>
              <w:right w:w="105" w:type="dxa"/>
            </w:tcMar>
            <w:hideMark/>
          </w:tcPr>
          <w:p w14:paraId="6C6FEC9D"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Tecnólogo</w:t>
            </w:r>
            <w:proofErr w:type="spellEnd"/>
          </w:p>
        </w:tc>
        <w:tc>
          <w:tcPr>
            <w:tcW w:w="450"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1CD52A1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917"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38BB785C"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Tecnólogo</w:t>
            </w:r>
            <w:proofErr w:type="spellEnd"/>
          </w:p>
        </w:tc>
        <w:tc>
          <w:tcPr>
            <w:tcW w:w="464"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0B054561"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812"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6443598D"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Tecnólogo</w:t>
            </w:r>
            <w:proofErr w:type="spellEnd"/>
          </w:p>
        </w:tc>
        <w:tc>
          <w:tcPr>
            <w:tcW w:w="479"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06CF62B9"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67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5D0B0748"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Tecnólogo</w:t>
            </w:r>
            <w:proofErr w:type="spellEnd"/>
          </w:p>
        </w:tc>
        <w:tc>
          <w:tcPr>
            <w:tcW w:w="53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0B233837"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r>
      <w:tr w:rsidR="00F62575" w:rsidRPr="00BF5DC0" w14:paraId="59C1622E" w14:textId="77777777" w:rsidTr="00D959BB">
        <w:trPr>
          <w:trHeight w:val="120"/>
        </w:trPr>
        <w:tc>
          <w:tcPr>
            <w:tcW w:w="1632" w:type="dxa"/>
            <w:tcBorders>
              <w:top w:val="nil"/>
              <w:left w:val="double" w:sz="12" w:space="0" w:color="4F81BD"/>
              <w:bottom w:val="double" w:sz="12" w:space="0" w:color="4F81BD"/>
              <w:right w:val="double" w:sz="12" w:space="0" w:color="4F81BD"/>
            </w:tcBorders>
            <w:tcMar>
              <w:top w:w="0" w:type="dxa"/>
              <w:left w:w="105" w:type="dxa"/>
              <w:bottom w:w="0" w:type="dxa"/>
              <w:right w:w="105" w:type="dxa"/>
            </w:tcMar>
            <w:hideMark/>
          </w:tcPr>
          <w:p w14:paraId="153C96A5"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sidRPr="00BF5DC0">
              <w:rPr>
                <w:rFonts w:ascii="Arial" w:eastAsia="Times New Roman" w:hAnsi="Arial" w:cs="Arial"/>
                <w:color w:val="000000"/>
                <w:sz w:val="20"/>
                <w:szCs w:val="20"/>
                <w:lang w:eastAsia="es-CO"/>
              </w:rPr>
              <w:t>Técnico</w:t>
            </w:r>
          </w:p>
        </w:tc>
        <w:tc>
          <w:tcPr>
            <w:tcW w:w="450" w:type="dxa"/>
            <w:tcBorders>
              <w:top w:val="nil"/>
              <w:left w:val="nil"/>
              <w:bottom w:val="double" w:sz="12" w:space="0" w:color="4F81BD"/>
              <w:right w:val="double" w:sz="12" w:space="0" w:color="4F81BD"/>
            </w:tcBorders>
            <w:tcMar>
              <w:top w:w="0" w:type="dxa"/>
              <w:left w:w="105" w:type="dxa"/>
              <w:bottom w:w="0" w:type="dxa"/>
              <w:right w:w="105" w:type="dxa"/>
            </w:tcMar>
            <w:hideMark/>
          </w:tcPr>
          <w:p w14:paraId="506BE785"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15</w:t>
            </w:r>
          </w:p>
        </w:tc>
        <w:tc>
          <w:tcPr>
            <w:tcW w:w="1917" w:type="dxa"/>
            <w:tcBorders>
              <w:top w:val="nil"/>
              <w:left w:val="nil"/>
              <w:bottom w:val="double" w:sz="12" w:space="0" w:color="4F81BD"/>
              <w:right w:val="double" w:sz="12" w:space="0" w:color="4F81BD"/>
            </w:tcBorders>
            <w:tcMar>
              <w:top w:w="0" w:type="dxa"/>
              <w:left w:w="105" w:type="dxa"/>
              <w:bottom w:w="0" w:type="dxa"/>
              <w:right w:w="105" w:type="dxa"/>
            </w:tcMar>
            <w:hideMark/>
          </w:tcPr>
          <w:p w14:paraId="569DC044"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sidRPr="00BF5DC0">
              <w:rPr>
                <w:rFonts w:ascii="Arial" w:eastAsia="Times New Roman" w:hAnsi="Arial" w:cs="Arial"/>
                <w:color w:val="000000"/>
                <w:sz w:val="20"/>
                <w:szCs w:val="20"/>
                <w:lang w:eastAsia="es-CO"/>
              </w:rPr>
              <w:t>Técnico</w:t>
            </w:r>
          </w:p>
        </w:tc>
        <w:tc>
          <w:tcPr>
            <w:tcW w:w="464" w:type="dxa"/>
            <w:tcBorders>
              <w:top w:val="nil"/>
              <w:left w:val="nil"/>
              <w:bottom w:val="double" w:sz="12" w:space="0" w:color="4F81BD"/>
              <w:right w:val="double" w:sz="12" w:space="0" w:color="4F81BD"/>
            </w:tcBorders>
            <w:tcMar>
              <w:top w:w="0" w:type="dxa"/>
              <w:left w:w="105" w:type="dxa"/>
              <w:bottom w:w="0" w:type="dxa"/>
              <w:right w:w="105" w:type="dxa"/>
            </w:tcMar>
            <w:hideMark/>
          </w:tcPr>
          <w:p w14:paraId="7CE5E091"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8</w:t>
            </w:r>
          </w:p>
        </w:tc>
        <w:tc>
          <w:tcPr>
            <w:tcW w:w="1812" w:type="dxa"/>
            <w:tcBorders>
              <w:top w:val="nil"/>
              <w:left w:val="nil"/>
              <w:bottom w:val="double" w:sz="12" w:space="0" w:color="4F81BD"/>
              <w:right w:val="double" w:sz="12" w:space="0" w:color="4F81BD"/>
            </w:tcBorders>
            <w:tcMar>
              <w:top w:w="0" w:type="dxa"/>
              <w:left w:w="105" w:type="dxa"/>
              <w:bottom w:w="0" w:type="dxa"/>
              <w:right w:w="105" w:type="dxa"/>
            </w:tcMar>
            <w:hideMark/>
          </w:tcPr>
          <w:p w14:paraId="19E52226"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sidRPr="00BF5DC0">
              <w:rPr>
                <w:rFonts w:ascii="Arial" w:eastAsia="Times New Roman" w:hAnsi="Arial" w:cs="Arial"/>
                <w:color w:val="000000"/>
                <w:sz w:val="20"/>
                <w:szCs w:val="20"/>
                <w:lang w:eastAsia="es-CO"/>
              </w:rPr>
              <w:t>Técnico</w:t>
            </w:r>
          </w:p>
        </w:tc>
        <w:tc>
          <w:tcPr>
            <w:tcW w:w="479" w:type="dxa"/>
            <w:tcBorders>
              <w:top w:val="nil"/>
              <w:left w:val="nil"/>
              <w:bottom w:val="double" w:sz="12" w:space="0" w:color="4F81BD"/>
              <w:right w:val="double" w:sz="12" w:space="0" w:color="4F81BD"/>
            </w:tcBorders>
            <w:tcMar>
              <w:top w:w="0" w:type="dxa"/>
              <w:left w:w="105" w:type="dxa"/>
              <w:bottom w:w="0" w:type="dxa"/>
              <w:right w:w="105" w:type="dxa"/>
            </w:tcMar>
            <w:hideMark/>
          </w:tcPr>
          <w:p w14:paraId="065BCEDF"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678" w:type="dxa"/>
            <w:tcBorders>
              <w:top w:val="nil"/>
              <w:left w:val="nil"/>
              <w:bottom w:val="double" w:sz="12" w:space="0" w:color="4F81BD"/>
              <w:right w:val="double" w:sz="12" w:space="0" w:color="4F81BD"/>
            </w:tcBorders>
            <w:tcMar>
              <w:top w:w="0" w:type="dxa"/>
              <w:left w:w="105" w:type="dxa"/>
              <w:bottom w:w="0" w:type="dxa"/>
              <w:right w:w="105" w:type="dxa"/>
            </w:tcMar>
            <w:hideMark/>
          </w:tcPr>
          <w:p w14:paraId="0B1BE3EF"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sidRPr="00BF5DC0">
              <w:rPr>
                <w:rFonts w:ascii="Arial" w:eastAsia="Times New Roman" w:hAnsi="Arial" w:cs="Arial"/>
                <w:color w:val="000000"/>
                <w:sz w:val="20"/>
                <w:szCs w:val="20"/>
                <w:lang w:eastAsia="es-CO"/>
              </w:rPr>
              <w:t>Técnico</w:t>
            </w:r>
          </w:p>
        </w:tc>
        <w:tc>
          <w:tcPr>
            <w:tcW w:w="538" w:type="dxa"/>
            <w:tcBorders>
              <w:top w:val="nil"/>
              <w:left w:val="nil"/>
              <w:bottom w:val="double" w:sz="12" w:space="0" w:color="4F81BD"/>
              <w:right w:val="double" w:sz="12" w:space="0" w:color="4F81BD"/>
            </w:tcBorders>
            <w:tcMar>
              <w:top w:w="0" w:type="dxa"/>
              <w:left w:w="105" w:type="dxa"/>
              <w:bottom w:w="0" w:type="dxa"/>
              <w:right w:w="105" w:type="dxa"/>
            </w:tcMar>
            <w:hideMark/>
          </w:tcPr>
          <w:p w14:paraId="4803EDAA"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8</w:t>
            </w:r>
          </w:p>
        </w:tc>
      </w:tr>
      <w:tr w:rsidR="00F62575" w:rsidRPr="00BF5DC0" w14:paraId="062FAD9D" w14:textId="77777777" w:rsidTr="00D959BB">
        <w:trPr>
          <w:trHeight w:val="225"/>
        </w:trPr>
        <w:tc>
          <w:tcPr>
            <w:tcW w:w="1632" w:type="dxa"/>
            <w:tcBorders>
              <w:top w:val="nil"/>
              <w:left w:val="double" w:sz="12" w:space="0" w:color="4F81BD"/>
              <w:bottom w:val="double" w:sz="12" w:space="0" w:color="4F81BD"/>
              <w:right w:val="double" w:sz="12" w:space="0" w:color="4F81BD"/>
            </w:tcBorders>
            <w:shd w:val="clear" w:color="auto" w:fill="DBE5F1"/>
            <w:tcMar>
              <w:top w:w="0" w:type="dxa"/>
              <w:left w:w="105" w:type="dxa"/>
              <w:bottom w:w="0" w:type="dxa"/>
              <w:right w:w="105" w:type="dxa"/>
            </w:tcMar>
            <w:hideMark/>
          </w:tcPr>
          <w:p w14:paraId="6AE06D3A"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Asistenciales</w:t>
            </w:r>
            <w:proofErr w:type="spellEnd"/>
          </w:p>
        </w:tc>
        <w:tc>
          <w:tcPr>
            <w:tcW w:w="450"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3ECB4733"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2</w:t>
            </w:r>
          </w:p>
        </w:tc>
        <w:tc>
          <w:tcPr>
            <w:tcW w:w="1917"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1777568E"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Asistenciales</w:t>
            </w:r>
            <w:proofErr w:type="spellEnd"/>
          </w:p>
        </w:tc>
        <w:tc>
          <w:tcPr>
            <w:tcW w:w="464"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5840560F"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4</w:t>
            </w:r>
          </w:p>
        </w:tc>
        <w:tc>
          <w:tcPr>
            <w:tcW w:w="1812"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37325A7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Asistenciales</w:t>
            </w:r>
            <w:proofErr w:type="spellEnd"/>
          </w:p>
        </w:tc>
        <w:tc>
          <w:tcPr>
            <w:tcW w:w="479"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21C43E2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0</w:t>
            </w:r>
          </w:p>
        </w:tc>
        <w:tc>
          <w:tcPr>
            <w:tcW w:w="167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00901763"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proofErr w:type="spellStart"/>
            <w:r w:rsidRPr="00BF5DC0">
              <w:rPr>
                <w:rFonts w:ascii="Arial" w:eastAsia="Times New Roman" w:hAnsi="Arial" w:cs="Arial"/>
                <w:color w:val="000000"/>
                <w:sz w:val="20"/>
                <w:szCs w:val="20"/>
                <w:lang w:eastAsia="es-CO"/>
              </w:rPr>
              <w:t>Asistenciales</w:t>
            </w:r>
            <w:proofErr w:type="spellEnd"/>
          </w:p>
        </w:tc>
        <w:tc>
          <w:tcPr>
            <w:tcW w:w="538" w:type="dxa"/>
            <w:tcBorders>
              <w:top w:val="nil"/>
              <w:left w:val="nil"/>
              <w:bottom w:val="double" w:sz="12" w:space="0" w:color="4F81BD"/>
              <w:right w:val="double" w:sz="12" w:space="0" w:color="4F81BD"/>
            </w:tcBorders>
            <w:shd w:val="clear" w:color="auto" w:fill="DBE5F1"/>
            <w:tcMar>
              <w:top w:w="0" w:type="dxa"/>
              <w:left w:w="105" w:type="dxa"/>
              <w:bottom w:w="0" w:type="dxa"/>
              <w:right w:w="105" w:type="dxa"/>
            </w:tcMar>
            <w:hideMark/>
          </w:tcPr>
          <w:p w14:paraId="32DDE890" w14:textId="77777777" w:rsidR="00F62575" w:rsidRPr="00BF5DC0" w:rsidRDefault="00F62575" w:rsidP="00D959BB">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1</w:t>
            </w:r>
          </w:p>
        </w:tc>
      </w:tr>
    </w:tbl>
    <w:p w14:paraId="6E242215" w14:textId="77777777" w:rsidR="00F62575" w:rsidRPr="008C7ABB" w:rsidRDefault="00F62575" w:rsidP="00F62575">
      <w:pPr>
        <w:jc w:val="both"/>
        <w:rPr>
          <w:rFonts w:ascii="Arial" w:hAnsi="Arial" w:cs="Arial"/>
          <w:b/>
          <w:bCs/>
          <w:i/>
          <w:iCs/>
          <w:sz w:val="18"/>
          <w:szCs w:val="18"/>
          <w:lang w:val="es-CO"/>
        </w:rPr>
      </w:pPr>
      <w:r w:rsidRPr="008C7ABB">
        <w:rPr>
          <w:rFonts w:ascii="Arial" w:hAnsi="Arial" w:cs="Arial"/>
          <w:b/>
          <w:bCs/>
          <w:i/>
          <w:iCs/>
          <w:sz w:val="18"/>
          <w:szCs w:val="18"/>
          <w:lang w:val="es-CO"/>
        </w:rPr>
        <w:t>Fuente oficina de talento humano, tabla No. 2</w:t>
      </w:r>
    </w:p>
    <w:p w14:paraId="7F95F23F" w14:textId="77777777" w:rsidR="00F62575" w:rsidRPr="00687977" w:rsidRDefault="00F62575" w:rsidP="000A07AB">
      <w:pPr>
        <w:jc w:val="both"/>
        <w:rPr>
          <w:rFonts w:ascii="Arial" w:hAnsi="Arial" w:cs="Arial"/>
          <w:sz w:val="24"/>
          <w:szCs w:val="24"/>
          <w:lang w:val="es-CO"/>
        </w:rPr>
      </w:pPr>
    </w:p>
    <w:p w14:paraId="0570110B" w14:textId="25469BC1" w:rsidR="00F62575" w:rsidRPr="00687977" w:rsidRDefault="00F62575" w:rsidP="00F62575">
      <w:pPr>
        <w:jc w:val="both"/>
        <w:rPr>
          <w:rFonts w:ascii="Arial" w:hAnsi="Arial" w:cs="Arial"/>
          <w:sz w:val="24"/>
          <w:szCs w:val="24"/>
          <w:lang w:val="es-CO"/>
        </w:rPr>
      </w:pPr>
      <w:r w:rsidRPr="00687977">
        <w:rPr>
          <w:rFonts w:ascii="Arial" w:hAnsi="Arial" w:cs="Arial"/>
          <w:sz w:val="24"/>
          <w:szCs w:val="24"/>
          <w:lang w:val="es-CO"/>
        </w:rPr>
        <w:lastRenderedPageBreak/>
        <w:t xml:space="preserve">Con relación a la nómina del Establecimiento Público Ambiental Distrital “EPA Buenaventura”, durante el periodo </w:t>
      </w:r>
      <w:r w:rsidR="00075FD6">
        <w:rPr>
          <w:rFonts w:ascii="Arial" w:hAnsi="Arial" w:cs="Arial"/>
          <w:sz w:val="24"/>
          <w:szCs w:val="24"/>
          <w:lang w:val="es-CO"/>
        </w:rPr>
        <w:t xml:space="preserve">julio a septiembre </w:t>
      </w:r>
      <w:r w:rsidRPr="00687977">
        <w:rPr>
          <w:rFonts w:ascii="Arial" w:hAnsi="Arial" w:cs="Arial"/>
          <w:sz w:val="24"/>
          <w:szCs w:val="24"/>
          <w:lang w:val="es-CO"/>
        </w:rPr>
        <w:t xml:space="preserve">de 2021, hubo disminución en el número de cargos en el personal de funcionamiento correspondiente al </w:t>
      </w:r>
      <w:r>
        <w:rPr>
          <w:rFonts w:ascii="Arial" w:hAnsi="Arial" w:cs="Arial"/>
          <w:sz w:val="24"/>
          <w:szCs w:val="24"/>
          <w:lang w:val="es-CO"/>
        </w:rPr>
        <w:t>59</w:t>
      </w:r>
      <w:r w:rsidRPr="00687977">
        <w:rPr>
          <w:rFonts w:ascii="Arial" w:hAnsi="Arial" w:cs="Arial"/>
          <w:sz w:val="24"/>
          <w:szCs w:val="24"/>
          <w:lang w:val="es-CO"/>
        </w:rPr>
        <w:t>%</w:t>
      </w:r>
      <w:r>
        <w:rPr>
          <w:rFonts w:ascii="Arial" w:hAnsi="Arial" w:cs="Arial"/>
          <w:sz w:val="24"/>
          <w:szCs w:val="24"/>
          <w:lang w:val="es-CO"/>
        </w:rPr>
        <w:t>;  por otro parte, e</w:t>
      </w:r>
      <w:r w:rsidRPr="00687977">
        <w:rPr>
          <w:rFonts w:ascii="Arial" w:hAnsi="Arial" w:cs="Arial"/>
          <w:sz w:val="24"/>
          <w:szCs w:val="24"/>
          <w:lang w:val="es-CO"/>
        </w:rPr>
        <w:t>n el personal de inversión en ninguno de los niveles  hubo contratación en el 2020, las contrataciones se realizaron en el 2021 del periodo objeto</w:t>
      </w:r>
      <w:r>
        <w:rPr>
          <w:rFonts w:ascii="Arial" w:hAnsi="Arial" w:cs="Arial"/>
          <w:sz w:val="24"/>
          <w:szCs w:val="24"/>
          <w:lang w:val="es-CO"/>
        </w:rPr>
        <w:t xml:space="preserve"> los cuales fueron</w:t>
      </w:r>
      <w:r w:rsidRPr="00687977">
        <w:rPr>
          <w:rFonts w:ascii="Arial" w:hAnsi="Arial" w:cs="Arial"/>
          <w:sz w:val="24"/>
          <w:szCs w:val="24"/>
          <w:lang w:val="es-CO"/>
        </w:rPr>
        <w:t xml:space="preserve"> necesarios para el normal funcionamiento de la Entidad y satisfacer las necesidades en los Niveles Especialistas, Profesional, Tecnólogo, Técnico y Asistencial;  qued</w:t>
      </w:r>
      <w:r>
        <w:rPr>
          <w:rFonts w:ascii="Arial" w:hAnsi="Arial" w:cs="Arial"/>
          <w:sz w:val="24"/>
          <w:szCs w:val="24"/>
          <w:lang w:val="es-CO"/>
        </w:rPr>
        <w:t xml:space="preserve">ando  </w:t>
      </w:r>
      <w:r w:rsidRPr="00687977">
        <w:rPr>
          <w:rFonts w:ascii="Arial" w:hAnsi="Arial" w:cs="Arial"/>
          <w:sz w:val="24"/>
          <w:szCs w:val="24"/>
          <w:lang w:val="es-CO"/>
        </w:rPr>
        <w:t>distribuidos los contratista</w:t>
      </w:r>
      <w:r>
        <w:rPr>
          <w:rFonts w:ascii="Arial" w:hAnsi="Arial" w:cs="Arial"/>
          <w:sz w:val="24"/>
          <w:szCs w:val="24"/>
          <w:lang w:val="es-CO"/>
        </w:rPr>
        <w:t>s</w:t>
      </w:r>
      <w:r w:rsidRPr="00687977">
        <w:rPr>
          <w:rFonts w:ascii="Arial" w:hAnsi="Arial" w:cs="Arial"/>
          <w:sz w:val="24"/>
          <w:szCs w:val="24"/>
          <w:lang w:val="es-CO"/>
        </w:rPr>
        <w:t xml:space="preserve"> de la entidad según tipo de vinculación </w:t>
      </w:r>
      <w:r>
        <w:rPr>
          <w:rFonts w:ascii="Arial" w:hAnsi="Arial" w:cs="Arial"/>
          <w:sz w:val="24"/>
          <w:szCs w:val="24"/>
          <w:lang w:val="es-CO"/>
        </w:rPr>
        <w:t>descrita en el cuadro anterior.</w:t>
      </w:r>
    </w:p>
    <w:p w14:paraId="289CE920" w14:textId="1B992DE8" w:rsidR="00E10C5A" w:rsidRPr="00687977" w:rsidRDefault="00F62575" w:rsidP="000A07AB">
      <w:pPr>
        <w:jc w:val="both"/>
        <w:rPr>
          <w:rFonts w:ascii="Arial" w:hAnsi="Arial" w:cs="Arial"/>
          <w:sz w:val="24"/>
          <w:szCs w:val="24"/>
          <w:lang w:val="es-CO"/>
        </w:rPr>
      </w:pPr>
      <w:r w:rsidRPr="008C7ABB">
        <w:rPr>
          <w:noProof/>
        </w:rPr>
        <w:drawing>
          <wp:inline distT="0" distB="0" distL="0" distR="0" wp14:anchorId="5E82EFC7" wp14:editId="60357E9B">
            <wp:extent cx="4942857" cy="158095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2857" cy="1580952"/>
                    </a:xfrm>
                    <a:prstGeom prst="rect">
                      <a:avLst/>
                    </a:prstGeom>
                  </pic:spPr>
                </pic:pic>
              </a:graphicData>
            </a:graphic>
          </wp:inline>
        </w:drawing>
      </w:r>
    </w:p>
    <w:bookmarkEnd w:id="0"/>
    <w:p w14:paraId="0A8A230C" w14:textId="164CB34C" w:rsidR="0063460C" w:rsidRDefault="00710B62" w:rsidP="00835722">
      <w:pPr>
        <w:jc w:val="both"/>
        <w:rPr>
          <w:rFonts w:ascii="Arial" w:hAnsi="Arial" w:cs="Arial"/>
          <w:sz w:val="24"/>
          <w:szCs w:val="24"/>
          <w:lang w:val="es-CO"/>
        </w:rPr>
      </w:pPr>
      <w:r w:rsidRPr="00835722">
        <w:rPr>
          <w:rFonts w:ascii="Arial" w:hAnsi="Arial" w:cs="Arial"/>
          <w:sz w:val="24"/>
          <w:szCs w:val="24"/>
          <w:lang w:val="es-CO"/>
        </w:rPr>
        <w:t xml:space="preserve">En este punto, se presenta la comparación de los valores </w:t>
      </w:r>
      <w:r w:rsidR="008B4544" w:rsidRPr="00835722">
        <w:rPr>
          <w:rFonts w:ascii="Arial" w:hAnsi="Arial" w:cs="Arial"/>
          <w:sz w:val="24"/>
          <w:szCs w:val="24"/>
          <w:lang w:val="es-CO"/>
        </w:rPr>
        <w:t>obligados por</w:t>
      </w:r>
      <w:r w:rsidRPr="00835722">
        <w:rPr>
          <w:rFonts w:ascii="Arial" w:hAnsi="Arial" w:cs="Arial"/>
          <w:sz w:val="24"/>
          <w:szCs w:val="24"/>
          <w:lang w:val="es-CO"/>
        </w:rPr>
        <w:t xml:space="preserve"> concepto de gastos de nómina del Establecimiento Público Ambiental “EPA Buenaventura”, durante el periodo de </w:t>
      </w:r>
      <w:r w:rsidR="008B4544" w:rsidRPr="00835722">
        <w:rPr>
          <w:rFonts w:ascii="Arial" w:hAnsi="Arial" w:cs="Arial"/>
          <w:sz w:val="24"/>
          <w:szCs w:val="24"/>
          <w:lang w:val="es-CO"/>
        </w:rPr>
        <w:t xml:space="preserve">julio </w:t>
      </w:r>
      <w:r w:rsidRPr="00835722">
        <w:rPr>
          <w:rFonts w:ascii="Arial" w:hAnsi="Arial" w:cs="Arial"/>
          <w:sz w:val="24"/>
          <w:szCs w:val="24"/>
          <w:lang w:val="es-CO"/>
        </w:rPr>
        <w:t>a</w:t>
      </w:r>
      <w:r w:rsidR="008B4544" w:rsidRPr="00835722">
        <w:rPr>
          <w:rFonts w:ascii="Arial" w:hAnsi="Arial" w:cs="Arial"/>
          <w:sz w:val="24"/>
          <w:szCs w:val="24"/>
          <w:lang w:val="es-CO"/>
        </w:rPr>
        <w:t xml:space="preserve"> septiembre</w:t>
      </w:r>
      <w:r w:rsidRPr="00835722">
        <w:rPr>
          <w:rFonts w:ascii="Arial" w:hAnsi="Arial" w:cs="Arial"/>
          <w:sz w:val="24"/>
          <w:szCs w:val="24"/>
          <w:lang w:val="es-CO"/>
        </w:rPr>
        <w:t xml:space="preserve"> de los años 2020 y 2021</w:t>
      </w:r>
      <w:r w:rsidR="00F62575">
        <w:rPr>
          <w:rFonts w:ascii="Arial" w:hAnsi="Arial" w:cs="Arial"/>
          <w:sz w:val="24"/>
          <w:szCs w:val="24"/>
          <w:lang w:val="es-CO"/>
        </w:rPr>
        <w:t xml:space="preserve">.  </w:t>
      </w:r>
      <w:r w:rsidR="0063460C" w:rsidRPr="00835722">
        <w:rPr>
          <w:rFonts w:ascii="Arial" w:hAnsi="Arial" w:cs="Arial"/>
          <w:sz w:val="24"/>
          <w:szCs w:val="24"/>
          <w:lang w:val="es-CO"/>
        </w:rPr>
        <w:t>En el comparativo entre el periodo alcance de las vigencias 202</w:t>
      </w:r>
      <w:r w:rsidR="008B4544" w:rsidRPr="00835722">
        <w:rPr>
          <w:rFonts w:ascii="Arial" w:hAnsi="Arial" w:cs="Arial"/>
          <w:sz w:val="24"/>
          <w:szCs w:val="24"/>
          <w:lang w:val="es-CO"/>
        </w:rPr>
        <w:t>0</w:t>
      </w:r>
      <w:r w:rsidR="0063460C" w:rsidRPr="00835722">
        <w:rPr>
          <w:rFonts w:ascii="Arial" w:hAnsi="Arial" w:cs="Arial"/>
          <w:sz w:val="24"/>
          <w:szCs w:val="24"/>
          <w:lang w:val="es-CO"/>
        </w:rPr>
        <w:t xml:space="preserve"> y 2021 con respecto al personal </w:t>
      </w:r>
      <w:r w:rsidR="00B32E14">
        <w:rPr>
          <w:rFonts w:ascii="Arial" w:hAnsi="Arial" w:cs="Arial"/>
          <w:sz w:val="24"/>
          <w:szCs w:val="24"/>
          <w:lang w:val="es-CO"/>
        </w:rPr>
        <w:t>de</w:t>
      </w:r>
      <w:r w:rsidR="0063460C" w:rsidRPr="00835722">
        <w:rPr>
          <w:rFonts w:ascii="Arial" w:hAnsi="Arial" w:cs="Arial"/>
          <w:sz w:val="24"/>
          <w:szCs w:val="24"/>
          <w:lang w:val="es-CO"/>
        </w:rPr>
        <w:t xml:space="preserve"> nómina, </w:t>
      </w:r>
      <w:r w:rsidR="00AD175D" w:rsidRPr="00835722">
        <w:rPr>
          <w:rFonts w:ascii="Arial" w:hAnsi="Arial" w:cs="Arial"/>
          <w:sz w:val="24"/>
          <w:szCs w:val="24"/>
          <w:lang w:val="es-CO"/>
        </w:rPr>
        <w:t>se pudo observar que hubo una variación en pesos significativa</w:t>
      </w:r>
      <w:r w:rsidR="00835722">
        <w:rPr>
          <w:rFonts w:ascii="Arial" w:hAnsi="Arial" w:cs="Arial"/>
          <w:sz w:val="24"/>
          <w:szCs w:val="24"/>
          <w:lang w:val="es-CO"/>
        </w:rPr>
        <w:t xml:space="preserve"> en el mes de agosto</w:t>
      </w:r>
      <w:r w:rsidR="00AD175D" w:rsidRPr="00835722">
        <w:rPr>
          <w:rFonts w:ascii="Arial" w:hAnsi="Arial" w:cs="Arial"/>
          <w:sz w:val="24"/>
          <w:szCs w:val="24"/>
          <w:lang w:val="es-CO"/>
        </w:rPr>
        <w:t xml:space="preserve">, </w:t>
      </w:r>
      <w:r w:rsidR="00835722">
        <w:rPr>
          <w:rFonts w:ascii="Arial" w:hAnsi="Arial" w:cs="Arial"/>
          <w:sz w:val="24"/>
          <w:szCs w:val="24"/>
          <w:lang w:val="es-CO"/>
        </w:rPr>
        <w:t>correspondiente a la suma de $188.062.888</w:t>
      </w:r>
      <w:r w:rsidR="00AD175D" w:rsidRPr="00835722">
        <w:rPr>
          <w:rFonts w:ascii="Arial" w:hAnsi="Arial" w:cs="Arial"/>
          <w:sz w:val="24"/>
          <w:szCs w:val="24"/>
          <w:lang w:val="es-CO"/>
        </w:rPr>
        <w:t xml:space="preserve">, </w:t>
      </w:r>
      <w:r w:rsidR="00835722">
        <w:rPr>
          <w:rFonts w:ascii="Arial" w:hAnsi="Arial" w:cs="Arial"/>
          <w:sz w:val="24"/>
          <w:szCs w:val="24"/>
          <w:lang w:val="es-CO"/>
        </w:rPr>
        <w:t>equivalente a un aumento del 447%.</w:t>
      </w:r>
    </w:p>
    <w:p w14:paraId="4E9776AE" w14:textId="46D4AC43" w:rsidR="00E10C5A" w:rsidRPr="00547927" w:rsidRDefault="00EE4238" w:rsidP="00EE4238">
      <w:pPr>
        <w:jc w:val="center"/>
        <w:rPr>
          <w:rFonts w:ascii="Arial" w:hAnsi="Arial" w:cs="Arial"/>
          <w:b/>
          <w:bCs/>
          <w:caps/>
          <w:sz w:val="28"/>
          <w:szCs w:val="28"/>
          <w:lang w:val="es-CO"/>
        </w:rPr>
      </w:pPr>
      <w:bookmarkStart w:id="2" w:name="_Hlk101451491"/>
      <w:r>
        <w:rPr>
          <w:rFonts w:ascii="Arial" w:hAnsi="Arial" w:cs="Arial"/>
          <w:b/>
          <w:bCs/>
          <w:caps/>
          <w:sz w:val="28"/>
          <w:szCs w:val="28"/>
          <w:lang w:val="es-CO"/>
        </w:rPr>
        <w:t xml:space="preserve">8.1.2. </w:t>
      </w:r>
      <w:r w:rsidR="00E10C5A" w:rsidRPr="00547927">
        <w:rPr>
          <w:rFonts w:ascii="Arial" w:hAnsi="Arial" w:cs="Arial"/>
          <w:b/>
          <w:bCs/>
          <w:caps/>
          <w:sz w:val="28"/>
          <w:szCs w:val="28"/>
          <w:lang w:val="es-CO"/>
        </w:rPr>
        <w:t>Parafiscales, Seguridad y prestaciones sociales</w:t>
      </w:r>
    </w:p>
    <w:p w14:paraId="23B0DF95" w14:textId="77777777" w:rsidR="00E10C5A" w:rsidRPr="00547927" w:rsidRDefault="00E10C5A" w:rsidP="00E10C5A">
      <w:pPr>
        <w:jc w:val="both"/>
        <w:rPr>
          <w:rFonts w:ascii="Arial" w:hAnsi="Arial" w:cs="Arial"/>
          <w:sz w:val="24"/>
          <w:szCs w:val="24"/>
          <w:lang w:val="es-CO"/>
        </w:rPr>
      </w:pPr>
      <w:r w:rsidRPr="00547927">
        <w:rPr>
          <w:rFonts w:ascii="Arial" w:hAnsi="Arial" w:cs="Arial"/>
          <w:sz w:val="24"/>
          <w:szCs w:val="24"/>
          <w:lang w:val="es-CO"/>
        </w:rPr>
        <w:t>A continuación, se relacionan los pagos realizados por la entidad, por conceptos de aportes parafiscales, seguridad social y prestaciones sociales, correspondiente al periodo de alcance de las vigencias 2020 y 2021</w:t>
      </w:r>
    </w:p>
    <w:bookmarkEnd w:id="2"/>
    <w:p w14:paraId="26C42A4C" w14:textId="77777777" w:rsidR="00E10C5A" w:rsidRPr="00835722" w:rsidRDefault="00E10C5A" w:rsidP="00835722">
      <w:pPr>
        <w:jc w:val="both"/>
        <w:rPr>
          <w:rFonts w:ascii="Arial" w:hAnsi="Arial" w:cs="Arial"/>
          <w:sz w:val="24"/>
          <w:szCs w:val="24"/>
          <w:lang w:val="es-CO"/>
        </w:rPr>
      </w:pPr>
    </w:p>
    <w:p w14:paraId="77AD3D76" w14:textId="66B9D934" w:rsidR="00BC1882" w:rsidRPr="003A4868" w:rsidRDefault="003A4868" w:rsidP="00835722">
      <w:pPr>
        <w:jc w:val="both"/>
        <w:rPr>
          <w:rFonts w:ascii="Arial" w:hAnsi="Arial" w:cs="Arial"/>
          <w:sz w:val="24"/>
          <w:szCs w:val="24"/>
          <w:lang w:val="es-CO"/>
        </w:rPr>
      </w:pPr>
      <w:r w:rsidRPr="003A4868">
        <w:rPr>
          <w:noProof/>
        </w:rPr>
        <w:drawing>
          <wp:inline distT="0" distB="0" distL="0" distR="0" wp14:anchorId="02CE8007" wp14:editId="22BAA6C1">
            <wp:extent cx="5612130" cy="22142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214245"/>
                    </a:xfrm>
                    <a:prstGeom prst="rect">
                      <a:avLst/>
                    </a:prstGeom>
                  </pic:spPr>
                </pic:pic>
              </a:graphicData>
            </a:graphic>
          </wp:inline>
        </w:drawing>
      </w:r>
    </w:p>
    <w:p w14:paraId="71362D72" w14:textId="77777777" w:rsidR="00A44AFB" w:rsidRPr="00547927" w:rsidRDefault="00A44AFB" w:rsidP="00A44AFB">
      <w:pPr>
        <w:jc w:val="both"/>
        <w:rPr>
          <w:rFonts w:ascii="Arial" w:hAnsi="Arial" w:cs="Arial"/>
          <w:b/>
          <w:bCs/>
          <w:sz w:val="24"/>
          <w:szCs w:val="24"/>
          <w:lang w:val="es-CO"/>
        </w:rPr>
      </w:pPr>
      <w:bookmarkStart w:id="3" w:name="_Hlk101454600"/>
      <w:r w:rsidRPr="00547927">
        <w:rPr>
          <w:rFonts w:ascii="Arial" w:hAnsi="Arial" w:cs="Arial"/>
          <w:b/>
          <w:bCs/>
          <w:sz w:val="24"/>
          <w:szCs w:val="24"/>
          <w:lang w:val="es-CO"/>
        </w:rPr>
        <w:t>Principales variaciones:</w:t>
      </w:r>
    </w:p>
    <w:p w14:paraId="467A6D45" w14:textId="14F9908D" w:rsidR="00A44AFB" w:rsidRPr="00547927" w:rsidRDefault="00A44AFB" w:rsidP="00A44AFB">
      <w:pPr>
        <w:jc w:val="both"/>
        <w:rPr>
          <w:rFonts w:ascii="Arial" w:hAnsi="Arial" w:cs="Arial"/>
          <w:sz w:val="24"/>
          <w:szCs w:val="24"/>
          <w:lang w:val="es-CO"/>
        </w:rPr>
      </w:pPr>
      <w:r w:rsidRPr="00547927">
        <w:rPr>
          <w:rFonts w:ascii="Arial" w:hAnsi="Arial" w:cs="Arial"/>
          <w:sz w:val="24"/>
          <w:szCs w:val="24"/>
          <w:lang w:val="es-CO"/>
        </w:rPr>
        <w:t xml:space="preserve">En general las variaciones se presentan por: </w:t>
      </w:r>
    </w:p>
    <w:p w14:paraId="00F63F85" w14:textId="2F860B66" w:rsidR="00AB5BB9" w:rsidRDefault="00A44AFB" w:rsidP="00E71F1A">
      <w:pPr>
        <w:pStyle w:val="Prrafodelista"/>
        <w:numPr>
          <w:ilvl w:val="0"/>
          <w:numId w:val="3"/>
        </w:numPr>
        <w:jc w:val="both"/>
        <w:rPr>
          <w:rFonts w:ascii="Arial" w:hAnsi="Arial" w:cs="Arial"/>
          <w:sz w:val="24"/>
          <w:szCs w:val="24"/>
          <w:lang w:val="es-CO"/>
        </w:rPr>
      </w:pPr>
      <w:r w:rsidRPr="00E71F1A">
        <w:rPr>
          <w:rFonts w:ascii="Arial" w:hAnsi="Arial" w:cs="Arial"/>
          <w:sz w:val="24"/>
          <w:szCs w:val="24"/>
          <w:lang w:val="es-CO"/>
        </w:rPr>
        <w:t>No se realizaron las causaciones de las prestaciones sociales mensualmente correspondientes a prima, vacaciones, prima de vacaciones</w:t>
      </w:r>
      <w:r w:rsidR="00E71F1A">
        <w:rPr>
          <w:rFonts w:ascii="Arial" w:hAnsi="Arial" w:cs="Arial"/>
          <w:sz w:val="24"/>
          <w:szCs w:val="24"/>
          <w:lang w:val="es-CO"/>
        </w:rPr>
        <w:t>.</w:t>
      </w:r>
    </w:p>
    <w:p w14:paraId="44702664" w14:textId="4528A9F0" w:rsidR="00E71F1A" w:rsidRDefault="00E71F1A" w:rsidP="00E71F1A">
      <w:pPr>
        <w:pStyle w:val="Prrafodelista"/>
        <w:numPr>
          <w:ilvl w:val="0"/>
          <w:numId w:val="3"/>
        </w:numPr>
        <w:jc w:val="both"/>
        <w:rPr>
          <w:rFonts w:ascii="Arial" w:hAnsi="Arial" w:cs="Arial"/>
          <w:sz w:val="24"/>
          <w:szCs w:val="24"/>
          <w:lang w:val="es-CO"/>
        </w:rPr>
      </w:pPr>
      <w:r>
        <w:rPr>
          <w:rFonts w:ascii="Arial" w:hAnsi="Arial" w:cs="Arial"/>
          <w:sz w:val="24"/>
          <w:szCs w:val="24"/>
          <w:lang w:val="es-CO"/>
        </w:rPr>
        <w:t>Se refleja un aumento en los conceptos correspondientes a la seguridad social, por cuanto, los gastos de personal se incrementaron en relación al año 2020.</w:t>
      </w:r>
    </w:p>
    <w:bookmarkEnd w:id="3"/>
    <w:p w14:paraId="5CDEFD65" w14:textId="77777777" w:rsidR="003A4868" w:rsidRPr="00835722" w:rsidRDefault="003A4868" w:rsidP="00835722">
      <w:pPr>
        <w:jc w:val="both"/>
        <w:rPr>
          <w:rFonts w:ascii="Arial" w:hAnsi="Arial" w:cs="Arial"/>
          <w:sz w:val="24"/>
          <w:szCs w:val="24"/>
          <w:lang w:val="es-CO"/>
        </w:rPr>
      </w:pPr>
    </w:p>
    <w:p w14:paraId="6B690F85" w14:textId="77777777" w:rsidR="00EE4238" w:rsidRPr="00835722" w:rsidRDefault="00EE4238" w:rsidP="00EE4238">
      <w:pPr>
        <w:jc w:val="center"/>
        <w:rPr>
          <w:rFonts w:ascii="Arial" w:hAnsi="Arial" w:cs="Arial"/>
          <w:b/>
          <w:bCs/>
          <w:sz w:val="28"/>
          <w:szCs w:val="28"/>
          <w:lang w:val="es-CO"/>
        </w:rPr>
      </w:pPr>
      <w:r w:rsidRPr="00835722">
        <w:rPr>
          <w:rFonts w:ascii="Arial" w:hAnsi="Arial" w:cs="Arial"/>
          <w:b/>
          <w:bCs/>
          <w:sz w:val="28"/>
          <w:szCs w:val="28"/>
          <w:lang w:val="es-CO"/>
        </w:rPr>
        <w:t>CONTRATACIÓN DE PRESTACIÓN DE SERVICIOS</w:t>
      </w:r>
    </w:p>
    <w:p w14:paraId="430A4C1E" w14:textId="77777777" w:rsidR="00F62575" w:rsidRDefault="00F62575" w:rsidP="00EE4238">
      <w:pPr>
        <w:jc w:val="both"/>
        <w:rPr>
          <w:rFonts w:ascii="Arial" w:hAnsi="Arial" w:cs="Arial"/>
          <w:sz w:val="24"/>
          <w:szCs w:val="24"/>
          <w:lang w:val="es-CO"/>
        </w:rPr>
      </w:pPr>
    </w:p>
    <w:p w14:paraId="38854845" w14:textId="1784219D" w:rsidR="00EE4238" w:rsidRDefault="00EE4238" w:rsidP="00EE4238">
      <w:pPr>
        <w:jc w:val="both"/>
        <w:rPr>
          <w:rFonts w:ascii="Arial" w:hAnsi="Arial" w:cs="Arial"/>
          <w:sz w:val="24"/>
          <w:szCs w:val="24"/>
          <w:lang w:val="es-CO"/>
        </w:rPr>
      </w:pPr>
      <w:r w:rsidRPr="00835722">
        <w:rPr>
          <w:rFonts w:ascii="Arial" w:hAnsi="Arial" w:cs="Arial"/>
          <w:sz w:val="24"/>
          <w:szCs w:val="24"/>
          <w:lang w:val="es-CO"/>
        </w:rPr>
        <w:t>Durante el periodo de estudio el Establecimiento Público Ambiental “EPA Buenaventura”, se realizaron los siguientes pagos por concepto de prestación de servicios:</w:t>
      </w:r>
    </w:p>
    <w:p w14:paraId="5057DB01" w14:textId="13165A0C" w:rsidR="00EF6F47" w:rsidRPr="00835722" w:rsidRDefault="003070AE" w:rsidP="00835722">
      <w:pPr>
        <w:jc w:val="both"/>
        <w:rPr>
          <w:rFonts w:ascii="Arial" w:hAnsi="Arial" w:cs="Arial"/>
          <w:sz w:val="24"/>
          <w:szCs w:val="24"/>
          <w:lang w:val="es-CO"/>
        </w:rPr>
      </w:pPr>
      <w:r w:rsidRPr="003070AE">
        <w:rPr>
          <w:noProof/>
        </w:rPr>
        <w:lastRenderedPageBreak/>
        <w:drawing>
          <wp:inline distT="0" distB="0" distL="0" distR="0" wp14:anchorId="5B893355" wp14:editId="39832DD4">
            <wp:extent cx="5352381" cy="1952381"/>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2381" cy="1952381"/>
                    </a:xfrm>
                    <a:prstGeom prst="rect">
                      <a:avLst/>
                    </a:prstGeom>
                  </pic:spPr>
                </pic:pic>
              </a:graphicData>
            </a:graphic>
          </wp:inline>
        </w:drawing>
      </w:r>
    </w:p>
    <w:p w14:paraId="32BF97D7" w14:textId="7B30E7B2" w:rsidR="00EF6F47" w:rsidRPr="00835722" w:rsidRDefault="00EF6F47" w:rsidP="00835722">
      <w:pPr>
        <w:jc w:val="both"/>
        <w:rPr>
          <w:rFonts w:ascii="Arial" w:hAnsi="Arial" w:cs="Arial"/>
          <w:sz w:val="24"/>
          <w:szCs w:val="24"/>
          <w:lang w:val="es-CO"/>
        </w:rPr>
      </w:pPr>
    </w:p>
    <w:p w14:paraId="3D8B5BB4" w14:textId="49CFEF58" w:rsidR="00017662" w:rsidRPr="00835722" w:rsidRDefault="00017662" w:rsidP="00835722">
      <w:pPr>
        <w:tabs>
          <w:tab w:val="left" w:pos="6983"/>
        </w:tabs>
        <w:jc w:val="both"/>
        <w:rPr>
          <w:rFonts w:ascii="Arial" w:hAnsi="Arial" w:cs="Arial"/>
          <w:sz w:val="24"/>
          <w:szCs w:val="24"/>
          <w:lang w:val="es-CO"/>
        </w:rPr>
      </w:pPr>
      <w:r w:rsidRPr="00835722">
        <w:rPr>
          <w:rFonts w:ascii="Arial" w:hAnsi="Arial" w:cs="Arial"/>
          <w:sz w:val="24"/>
          <w:szCs w:val="24"/>
          <w:lang w:val="es-CO"/>
        </w:rPr>
        <w:t>Como se observa en la tabla anterior el comportamiento de los prestadores de servicio en las ár</w:t>
      </w:r>
      <w:r w:rsidR="00EE4238">
        <w:rPr>
          <w:rFonts w:ascii="Arial" w:hAnsi="Arial" w:cs="Arial"/>
          <w:sz w:val="24"/>
          <w:szCs w:val="24"/>
          <w:lang w:val="es-CO"/>
        </w:rPr>
        <w:t>eas</w:t>
      </w:r>
      <w:r w:rsidR="00142661">
        <w:rPr>
          <w:rFonts w:ascii="Arial" w:hAnsi="Arial" w:cs="Arial"/>
          <w:sz w:val="24"/>
          <w:szCs w:val="24"/>
          <w:lang w:val="es-CO"/>
        </w:rPr>
        <w:t xml:space="preserve"> de </w:t>
      </w:r>
      <w:r w:rsidRPr="00835722">
        <w:rPr>
          <w:rFonts w:ascii="Arial" w:hAnsi="Arial" w:cs="Arial"/>
          <w:sz w:val="24"/>
          <w:szCs w:val="24"/>
          <w:lang w:val="es-CO"/>
        </w:rPr>
        <w:t>funcionamiento</w:t>
      </w:r>
      <w:r w:rsidR="00EE4238">
        <w:rPr>
          <w:rFonts w:ascii="Arial" w:hAnsi="Arial" w:cs="Arial"/>
          <w:sz w:val="24"/>
          <w:szCs w:val="24"/>
          <w:lang w:val="es-CO"/>
        </w:rPr>
        <w:t xml:space="preserve"> e inversión son significativas, debido a </w:t>
      </w:r>
      <w:r w:rsidR="00142661">
        <w:rPr>
          <w:rFonts w:ascii="Arial" w:hAnsi="Arial" w:cs="Arial"/>
          <w:sz w:val="24"/>
          <w:szCs w:val="24"/>
          <w:lang w:val="es-CO"/>
        </w:rPr>
        <w:t xml:space="preserve">que </w:t>
      </w:r>
      <w:r w:rsidR="00142661" w:rsidRPr="00835722">
        <w:rPr>
          <w:rFonts w:ascii="Arial" w:hAnsi="Arial" w:cs="Arial"/>
          <w:sz w:val="24"/>
          <w:szCs w:val="24"/>
          <w:lang w:val="es-CO"/>
        </w:rPr>
        <w:t>en</w:t>
      </w:r>
      <w:r w:rsidR="00142661">
        <w:rPr>
          <w:rFonts w:ascii="Arial" w:hAnsi="Arial" w:cs="Arial"/>
          <w:sz w:val="24"/>
          <w:szCs w:val="24"/>
          <w:lang w:val="es-CO"/>
        </w:rPr>
        <w:t xml:space="preserve"> el 2020 se decretó la emergencia por COVID y esto limitó las contrataciones.</w:t>
      </w:r>
    </w:p>
    <w:p w14:paraId="59E149C5" w14:textId="32D7F26B" w:rsidR="00932528" w:rsidRPr="00835722" w:rsidRDefault="00932528" w:rsidP="00835722">
      <w:pPr>
        <w:tabs>
          <w:tab w:val="left" w:pos="6983"/>
        </w:tabs>
        <w:jc w:val="both"/>
        <w:rPr>
          <w:rFonts w:ascii="Arial" w:hAnsi="Arial" w:cs="Arial"/>
          <w:sz w:val="24"/>
          <w:szCs w:val="24"/>
          <w:lang w:val="es-CO"/>
        </w:rPr>
      </w:pPr>
    </w:p>
    <w:p w14:paraId="217BC345" w14:textId="3DBFB2AA" w:rsidR="00932528" w:rsidRPr="008E280A" w:rsidRDefault="00932528" w:rsidP="008E280A">
      <w:pPr>
        <w:tabs>
          <w:tab w:val="left" w:pos="6983"/>
        </w:tabs>
        <w:jc w:val="center"/>
        <w:rPr>
          <w:rFonts w:ascii="Arial" w:hAnsi="Arial" w:cs="Arial"/>
          <w:b/>
          <w:bCs/>
          <w:sz w:val="28"/>
          <w:szCs w:val="28"/>
          <w:lang w:val="es-CO"/>
        </w:rPr>
      </w:pPr>
      <w:r w:rsidRPr="008E280A">
        <w:rPr>
          <w:rFonts w:ascii="Arial" w:hAnsi="Arial" w:cs="Arial"/>
          <w:b/>
          <w:bCs/>
          <w:sz w:val="28"/>
          <w:szCs w:val="28"/>
          <w:lang w:val="es-CO"/>
        </w:rPr>
        <w:t>GASTOS DE VIAJE Y VIÁTICOS</w:t>
      </w:r>
    </w:p>
    <w:p w14:paraId="04EFDDE7" w14:textId="7B303BE0" w:rsidR="00A60585" w:rsidRDefault="00A60585" w:rsidP="00835722">
      <w:pPr>
        <w:tabs>
          <w:tab w:val="left" w:pos="6983"/>
        </w:tabs>
        <w:jc w:val="both"/>
        <w:rPr>
          <w:rFonts w:ascii="Arial" w:hAnsi="Arial" w:cs="Arial"/>
          <w:noProof/>
          <w:sz w:val="24"/>
          <w:szCs w:val="24"/>
        </w:rPr>
      </w:pPr>
    </w:p>
    <w:p w14:paraId="0475F09F" w14:textId="09857B49" w:rsidR="003070AE" w:rsidRPr="00835722" w:rsidRDefault="003070AE" w:rsidP="00835722">
      <w:pPr>
        <w:tabs>
          <w:tab w:val="left" w:pos="6983"/>
        </w:tabs>
        <w:jc w:val="both"/>
        <w:rPr>
          <w:rFonts w:ascii="Arial" w:hAnsi="Arial" w:cs="Arial"/>
          <w:b/>
          <w:bCs/>
          <w:sz w:val="24"/>
          <w:szCs w:val="24"/>
          <w:lang w:val="es-CO"/>
        </w:rPr>
      </w:pPr>
      <w:r w:rsidRPr="003070AE">
        <w:rPr>
          <w:noProof/>
        </w:rPr>
        <w:drawing>
          <wp:inline distT="0" distB="0" distL="0" distR="0" wp14:anchorId="60D74F06" wp14:editId="3EFF792A">
            <wp:extent cx="5238095" cy="1180952"/>
            <wp:effectExtent l="0" t="0" r="1270"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38095" cy="1180952"/>
                    </a:xfrm>
                    <a:prstGeom prst="rect">
                      <a:avLst/>
                    </a:prstGeom>
                  </pic:spPr>
                </pic:pic>
              </a:graphicData>
            </a:graphic>
          </wp:inline>
        </w:drawing>
      </w:r>
    </w:p>
    <w:p w14:paraId="0BBAF0A7" w14:textId="5CEFAB9C" w:rsidR="009346FD" w:rsidRPr="00835722" w:rsidRDefault="009346FD" w:rsidP="00835722">
      <w:pPr>
        <w:tabs>
          <w:tab w:val="left" w:pos="6983"/>
        </w:tabs>
        <w:jc w:val="both"/>
        <w:rPr>
          <w:rFonts w:ascii="Arial" w:hAnsi="Arial" w:cs="Arial"/>
          <w:b/>
          <w:bCs/>
          <w:sz w:val="24"/>
          <w:szCs w:val="24"/>
          <w:lang w:val="es-CO"/>
        </w:rPr>
      </w:pPr>
    </w:p>
    <w:p w14:paraId="719778C1" w14:textId="3B3D07DA" w:rsidR="009346FD" w:rsidRPr="008E280A" w:rsidRDefault="009346FD" w:rsidP="00835722">
      <w:pPr>
        <w:tabs>
          <w:tab w:val="left" w:pos="6983"/>
        </w:tabs>
        <w:jc w:val="both"/>
        <w:rPr>
          <w:rFonts w:ascii="Arial" w:hAnsi="Arial" w:cs="Arial"/>
          <w:sz w:val="24"/>
          <w:szCs w:val="24"/>
          <w:lang w:val="es-CO"/>
        </w:rPr>
      </w:pPr>
      <w:r w:rsidRPr="008E280A">
        <w:rPr>
          <w:rFonts w:ascii="Arial" w:hAnsi="Arial" w:cs="Arial"/>
          <w:sz w:val="24"/>
          <w:szCs w:val="24"/>
          <w:lang w:val="es-CO"/>
        </w:rPr>
        <w:t xml:space="preserve">Acumulado de gastos de viaje y viáticos ejecutados durante el periodo de </w:t>
      </w:r>
      <w:r w:rsidR="00DE6D07" w:rsidRPr="008E280A">
        <w:rPr>
          <w:rFonts w:ascii="Arial" w:hAnsi="Arial" w:cs="Arial"/>
          <w:sz w:val="24"/>
          <w:szCs w:val="24"/>
          <w:lang w:val="es-CO"/>
        </w:rPr>
        <w:t>julio a septiembre</w:t>
      </w:r>
      <w:r w:rsidRPr="008E280A">
        <w:rPr>
          <w:rFonts w:ascii="Arial" w:hAnsi="Arial" w:cs="Arial"/>
          <w:sz w:val="24"/>
          <w:szCs w:val="24"/>
          <w:lang w:val="es-CO"/>
        </w:rPr>
        <w:t xml:space="preserve"> del año 2021 y 2020, se puede deducir que los gastos por viáticos de funcionarios y gastos de viaje se incrementó notoriamente, </w:t>
      </w:r>
      <w:r w:rsidR="00102528" w:rsidRPr="008E280A">
        <w:rPr>
          <w:rFonts w:ascii="Arial" w:hAnsi="Arial" w:cs="Arial"/>
          <w:sz w:val="24"/>
          <w:szCs w:val="24"/>
          <w:lang w:val="es-CO"/>
        </w:rPr>
        <w:t xml:space="preserve">donde </w:t>
      </w:r>
      <w:r w:rsidR="00E264B9" w:rsidRPr="008E280A">
        <w:rPr>
          <w:rFonts w:ascii="Arial" w:hAnsi="Arial" w:cs="Arial"/>
          <w:sz w:val="24"/>
          <w:szCs w:val="24"/>
          <w:lang w:val="es-CO"/>
        </w:rPr>
        <w:t xml:space="preserve">los viáticos </w:t>
      </w:r>
      <w:r w:rsidR="00E264B9" w:rsidRPr="008E280A">
        <w:rPr>
          <w:rFonts w:ascii="Arial" w:hAnsi="Arial" w:cs="Arial"/>
          <w:sz w:val="24"/>
          <w:szCs w:val="24"/>
          <w:lang w:val="es-CO"/>
        </w:rPr>
        <w:lastRenderedPageBreak/>
        <w:t>tuvieron</w:t>
      </w:r>
      <w:r w:rsidR="00102528" w:rsidRPr="008E280A">
        <w:rPr>
          <w:rFonts w:ascii="Arial" w:hAnsi="Arial" w:cs="Arial"/>
          <w:sz w:val="24"/>
          <w:szCs w:val="24"/>
          <w:lang w:val="es-CO"/>
        </w:rPr>
        <w:t xml:space="preserve"> un incremento del </w:t>
      </w:r>
      <w:r w:rsidR="00DE6D07" w:rsidRPr="008E280A">
        <w:rPr>
          <w:rFonts w:ascii="Arial" w:hAnsi="Arial" w:cs="Arial"/>
          <w:sz w:val="24"/>
          <w:szCs w:val="24"/>
          <w:lang w:val="es-CO"/>
        </w:rPr>
        <w:t>1844</w:t>
      </w:r>
      <w:r w:rsidR="00102528" w:rsidRPr="008E280A">
        <w:rPr>
          <w:rFonts w:ascii="Arial" w:hAnsi="Arial" w:cs="Arial"/>
          <w:sz w:val="24"/>
          <w:szCs w:val="24"/>
          <w:lang w:val="es-CO"/>
        </w:rPr>
        <w:t xml:space="preserve">% y los gastos de viaje de </w:t>
      </w:r>
      <w:r w:rsidR="00DE6D07" w:rsidRPr="008E280A">
        <w:rPr>
          <w:rFonts w:ascii="Arial" w:hAnsi="Arial" w:cs="Arial"/>
          <w:sz w:val="24"/>
          <w:szCs w:val="24"/>
          <w:lang w:val="es-CO"/>
        </w:rPr>
        <w:t>1802</w:t>
      </w:r>
      <w:r w:rsidR="00102528" w:rsidRPr="008E280A">
        <w:rPr>
          <w:rFonts w:ascii="Arial" w:hAnsi="Arial" w:cs="Arial"/>
          <w:sz w:val="24"/>
          <w:szCs w:val="24"/>
          <w:lang w:val="es-CO"/>
        </w:rPr>
        <w:t>%.</w:t>
      </w:r>
      <w:r w:rsidR="00DE6D07" w:rsidRPr="008E280A">
        <w:rPr>
          <w:rFonts w:ascii="Arial" w:hAnsi="Arial" w:cs="Arial"/>
          <w:sz w:val="24"/>
          <w:szCs w:val="24"/>
          <w:lang w:val="es-CO"/>
        </w:rPr>
        <w:t xml:space="preserve"> </w:t>
      </w:r>
      <w:bookmarkStart w:id="4" w:name="_Hlk98322516"/>
      <w:r w:rsidR="00E264B9" w:rsidRPr="008E280A">
        <w:rPr>
          <w:rFonts w:ascii="Arial" w:hAnsi="Arial" w:cs="Arial"/>
          <w:sz w:val="24"/>
          <w:szCs w:val="24"/>
          <w:lang w:val="es-CO"/>
        </w:rPr>
        <w:t xml:space="preserve">  Al igual que el trimestre anterior, en estos rubros se observa un aumento que podría considerarse </w:t>
      </w:r>
      <w:r w:rsidR="008E280A" w:rsidRPr="008E280A">
        <w:rPr>
          <w:rFonts w:ascii="Arial" w:hAnsi="Arial" w:cs="Arial"/>
          <w:sz w:val="24"/>
          <w:szCs w:val="24"/>
          <w:lang w:val="es-CO"/>
        </w:rPr>
        <w:t>exorbitante ya</w:t>
      </w:r>
      <w:r w:rsidR="00C81107" w:rsidRPr="008E280A">
        <w:rPr>
          <w:rFonts w:ascii="Arial" w:hAnsi="Arial" w:cs="Arial"/>
          <w:sz w:val="24"/>
          <w:szCs w:val="24"/>
          <w:lang w:val="es-CO"/>
        </w:rPr>
        <w:t xml:space="preserve"> que por </w:t>
      </w:r>
      <w:r w:rsidR="00DE6D07" w:rsidRPr="008E280A">
        <w:rPr>
          <w:rFonts w:ascii="Arial" w:hAnsi="Arial" w:cs="Arial"/>
          <w:sz w:val="24"/>
          <w:szCs w:val="24"/>
          <w:lang w:val="es-CO"/>
        </w:rPr>
        <w:t xml:space="preserve">la crisis mundial que atravesamos </w:t>
      </w:r>
      <w:r w:rsidR="00310C14" w:rsidRPr="008E280A">
        <w:rPr>
          <w:rFonts w:ascii="Arial" w:hAnsi="Arial" w:cs="Arial"/>
          <w:sz w:val="24"/>
          <w:szCs w:val="24"/>
          <w:lang w:val="es-CO"/>
        </w:rPr>
        <w:t xml:space="preserve">frente al </w:t>
      </w:r>
      <w:r w:rsidR="00DE6D07" w:rsidRPr="008E280A">
        <w:rPr>
          <w:rFonts w:ascii="Arial" w:hAnsi="Arial" w:cs="Arial"/>
          <w:sz w:val="24"/>
          <w:szCs w:val="24"/>
          <w:lang w:val="es-CO"/>
        </w:rPr>
        <w:t xml:space="preserve">Covid-19 </w:t>
      </w:r>
      <w:r w:rsidR="00310C14" w:rsidRPr="008E280A">
        <w:rPr>
          <w:rFonts w:ascii="Arial" w:hAnsi="Arial" w:cs="Arial"/>
          <w:sz w:val="24"/>
          <w:szCs w:val="24"/>
          <w:lang w:val="es-CO"/>
        </w:rPr>
        <w:t>con el confinamiento y por ende la limitación de los desplazamientos</w:t>
      </w:r>
      <w:r w:rsidR="00E264B9" w:rsidRPr="008E280A">
        <w:rPr>
          <w:rFonts w:ascii="Arial" w:hAnsi="Arial" w:cs="Arial"/>
          <w:sz w:val="24"/>
          <w:szCs w:val="24"/>
          <w:lang w:val="es-CO"/>
        </w:rPr>
        <w:t>, en el año 2020 no hubo erogaciones por este concepto más que las necesarias por la situación mencionada.</w:t>
      </w:r>
    </w:p>
    <w:bookmarkEnd w:id="4"/>
    <w:p w14:paraId="2317D245" w14:textId="63EA5CEF" w:rsidR="00E264B9" w:rsidRPr="00835722" w:rsidRDefault="00E264B9" w:rsidP="00835722">
      <w:pPr>
        <w:tabs>
          <w:tab w:val="left" w:pos="6983"/>
        </w:tabs>
        <w:jc w:val="both"/>
        <w:rPr>
          <w:rFonts w:ascii="Arial" w:hAnsi="Arial" w:cs="Arial"/>
          <w:b/>
          <w:bCs/>
          <w:sz w:val="24"/>
          <w:szCs w:val="24"/>
          <w:lang w:val="es-CO"/>
        </w:rPr>
      </w:pPr>
    </w:p>
    <w:p w14:paraId="55FB165F" w14:textId="77777777" w:rsidR="008E280A" w:rsidRDefault="00102528" w:rsidP="008E280A">
      <w:pPr>
        <w:tabs>
          <w:tab w:val="left" w:pos="6983"/>
        </w:tabs>
        <w:jc w:val="center"/>
        <w:rPr>
          <w:rFonts w:ascii="Arial" w:hAnsi="Arial" w:cs="Arial"/>
          <w:b/>
          <w:bCs/>
          <w:sz w:val="28"/>
          <w:szCs w:val="28"/>
          <w:lang w:val="es-CO"/>
        </w:rPr>
      </w:pPr>
      <w:r w:rsidRPr="008E280A">
        <w:rPr>
          <w:rFonts w:ascii="Arial" w:hAnsi="Arial" w:cs="Arial"/>
          <w:b/>
          <w:bCs/>
          <w:sz w:val="28"/>
          <w:szCs w:val="28"/>
          <w:lang w:val="es-CO"/>
        </w:rPr>
        <w:t xml:space="preserve">COMPARATIVO DE GASTOS ADMINISTRATIVOS VIGENCIA </w:t>
      </w:r>
    </w:p>
    <w:p w14:paraId="54536DF0" w14:textId="1842CE90" w:rsidR="00102528" w:rsidRPr="008E280A" w:rsidRDefault="00102528" w:rsidP="008E280A">
      <w:pPr>
        <w:tabs>
          <w:tab w:val="left" w:pos="6983"/>
        </w:tabs>
        <w:jc w:val="center"/>
        <w:rPr>
          <w:rFonts w:ascii="Arial" w:hAnsi="Arial" w:cs="Arial"/>
          <w:b/>
          <w:bCs/>
          <w:sz w:val="28"/>
          <w:szCs w:val="28"/>
          <w:lang w:val="es-CO"/>
        </w:rPr>
      </w:pPr>
      <w:r w:rsidRPr="008E280A">
        <w:rPr>
          <w:rFonts w:ascii="Arial" w:hAnsi="Arial" w:cs="Arial"/>
          <w:b/>
          <w:bCs/>
          <w:sz w:val="28"/>
          <w:szCs w:val="28"/>
          <w:lang w:val="es-CO"/>
        </w:rPr>
        <w:t>2020-2021</w:t>
      </w:r>
    </w:p>
    <w:p w14:paraId="29E7A56B" w14:textId="761D3139" w:rsidR="00102528" w:rsidRPr="00835722" w:rsidRDefault="00102528" w:rsidP="00835722">
      <w:pPr>
        <w:tabs>
          <w:tab w:val="left" w:pos="6983"/>
        </w:tabs>
        <w:jc w:val="both"/>
        <w:rPr>
          <w:rFonts w:ascii="Arial" w:hAnsi="Arial" w:cs="Arial"/>
          <w:sz w:val="24"/>
          <w:szCs w:val="24"/>
          <w:lang w:val="es-CO"/>
        </w:rPr>
      </w:pPr>
      <w:r w:rsidRPr="00835722">
        <w:rPr>
          <w:rFonts w:ascii="Arial" w:hAnsi="Arial" w:cs="Arial"/>
          <w:sz w:val="24"/>
          <w:szCs w:val="24"/>
          <w:lang w:val="es-CO"/>
        </w:rPr>
        <w:t>En la siguiente tabla se observa el comportamiento de los rubros del gasto de manera general.  Los valores positivos significan aumento y por ende los valores negativos disminución del gasto.</w:t>
      </w:r>
    </w:p>
    <w:p w14:paraId="58F64879" w14:textId="3DD826A4" w:rsidR="00275632" w:rsidRPr="00835722" w:rsidRDefault="00077FED" w:rsidP="00835722">
      <w:pPr>
        <w:tabs>
          <w:tab w:val="left" w:pos="6983"/>
        </w:tabs>
        <w:jc w:val="both"/>
        <w:rPr>
          <w:rFonts w:ascii="Arial" w:hAnsi="Arial" w:cs="Arial"/>
          <w:sz w:val="24"/>
          <w:szCs w:val="24"/>
          <w:lang w:val="es-CO"/>
        </w:rPr>
      </w:pPr>
      <w:r w:rsidRPr="00077FED">
        <w:rPr>
          <w:noProof/>
        </w:rPr>
        <w:drawing>
          <wp:inline distT="0" distB="0" distL="0" distR="0" wp14:anchorId="284F362D" wp14:editId="528944ED">
            <wp:extent cx="5612130" cy="21526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52650"/>
                    </a:xfrm>
                    <a:prstGeom prst="rect">
                      <a:avLst/>
                    </a:prstGeom>
                  </pic:spPr>
                </pic:pic>
              </a:graphicData>
            </a:graphic>
          </wp:inline>
        </w:drawing>
      </w:r>
    </w:p>
    <w:p w14:paraId="0A17E8C0" w14:textId="576B7E89" w:rsidR="00314E9D" w:rsidRDefault="00275632" w:rsidP="00835722">
      <w:pPr>
        <w:tabs>
          <w:tab w:val="left" w:pos="6983"/>
        </w:tabs>
        <w:jc w:val="both"/>
        <w:rPr>
          <w:rFonts w:ascii="Arial" w:hAnsi="Arial" w:cs="Arial"/>
          <w:sz w:val="24"/>
          <w:szCs w:val="24"/>
          <w:lang w:val="es-CO"/>
        </w:rPr>
      </w:pPr>
      <w:r w:rsidRPr="00835722">
        <w:rPr>
          <w:rFonts w:ascii="Arial" w:hAnsi="Arial" w:cs="Arial"/>
          <w:sz w:val="24"/>
          <w:szCs w:val="24"/>
          <w:lang w:val="es-CO"/>
        </w:rPr>
        <w:t xml:space="preserve">En general se puede observar aumento en los principales rubros que componen el funcionamiento de la Entidad correspondiente al </w:t>
      </w:r>
      <w:r w:rsidR="00890458">
        <w:rPr>
          <w:rFonts w:ascii="Arial" w:hAnsi="Arial" w:cs="Arial"/>
          <w:sz w:val="24"/>
          <w:szCs w:val="24"/>
          <w:lang w:val="es-CO"/>
        </w:rPr>
        <w:t>tercer</w:t>
      </w:r>
      <w:r w:rsidRPr="00835722">
        <w:rPr>
          <w:rFonts w:ascii="Arial" w:hAnsi="Arial" w:cs="Arial"/>
          <w:sz w:val="24"/>
          <w:szCs w:val="24"/>
          <w:lang w:val="es-CO"/>
        </w:rPr>
        <w:t xml:space="preserve"> trimestre del periodo 2021 del alcance.  </w:t>
      </w:r>
      <w:r w:rsidR="00077FED">
        <w:rPr>
          <w:rFonts w:ascii="Arial" w:hAnsi="Arial" w:cs="Arial"/>
          <w:sz w:val="24"/>
          <w:szCs w:val="24"/>
          <w:lang w:val="es-CO"/>
        </w:rPr>
        <w:t>Se adquirieron equipos por valor de $5.538.800,</w:t>
      </w:r>
      <w:r w:rsidR="00220BC1" w:rsidRPr="00835722">
        <w:rPr>
          <w:rFonts w:ascii="Arial" w:hAnsi="Arial" w:cs="Arial"/>
          <w:sz w:val="24"/>
          <w:szCs w:val="24"/>
          <w:lang w:val="es-CO"/>
        </w:rPr>
        <w:t xml:space="preserve"> </w:t>
      </w:r>
      <w:r w:rsidR="00077FED">
        <w:rPr>
          <w:rFonts w:ascii="Arial" w:hAnsi="Arial" w:cs="Arial"/>
          <w:sz w:val="24"/>
          <w:szCs w:val="24"/>
          <w:lang w:val="es-CO"/>
        </w:rPr>
        <w:t>l</w:t>
      </w:r>
      <w:r w:rsidR="00220BC1" w:rsidRPr="00835722">
        <w:rPr>
          <w:rFonts w:ascii="Arial" w:hAnsi="Arial" w:cs="Arial"/>
          <w:sz w:val="24"/>
          <w:szCs w:val="24"/>
          <w:lang w:val="es-CO"/>
        </w:rPr>
        <w:t xml:space="preserve">a entidad contó con la compra masiva de papelería, elementos de oficina e insumos para </w:t>
      </w:r>
      <w:r w:rsidR="008E280A" w:rsidRPr="00835722">
        <w:rPr>
          <w:rFonts w:ascii="Arial" w:hAnsi="Arial" w:cs="Arial"/>
          <w:sz w:val="24"/>
          <w:szCs w:val="24"/>
          <w:lang w:val="es-CO"/>
        </w:rPr>
        <w:t>la cafetería</w:t>
      </w:r>
      <w:r w:rsidR="00220BC1" w:rsidRPr="00835722">
        <w:rPr>
          <w:rFonts w:ascii="Arial" w:hAnsi="Arial" w:cs="Arial"/>
          <w:sz w:val="24"/>
          <w:szCs w:val="24"/>
          <w:lang w:val="es-CO"/>
        </w:rPr>
        <w:t>.</w:t>
      </w:r>
    </w:p>
    <w:p w14:paraId="1EF0D1E4" w14:textId="649DD38C" w:rsidR="00314E9D" w:rsidRPr="00835722" w:rsidRDefault="00314E9D" w:rsidP="00314E9D">
      <w:pPr>
        <w:tabs>
          <w:tab w:val="left" w:pos="6983"/>
        </w:tabs>
        <w:jc w:val="both"/>
        <w:rPr>
          <w:rFonts w:ascii="Arial" w:hAnsi="Arial" w:cs="Arial"/>
          <w:sz w:val="24"/>
          <w:szCs w:val="24"/>
          <w:lang w:val="es-CO"/>
        </w:rPr>
      </w:pPr>
      <w:r w:rsidRPr="00835722">
        <w:rPr>
          <w:rFonts w:ascii="Arial" w:hAnsi="Arial" w:cs="Arial"/>
          <w:sz w:val="24"/>
          <w:szCs w:val="24"/>
          <w:lang w:val="es-CO"/>
        </w:rPr>
        <w:lastRenderedPageBreak/>
        <w:t>El establecimiento público ambiental EPA para el año 2021 genera gastos por arrendamiento de equipos</w:t>
      </w:r>
      <w:r>
        <w:rPr>
          <w:rFonts w:ascii="Arial" w:hAnsi="Arial" w:cs="Arial"/>
          <w:sz w:val="24"/>
          <w:szCs w:val="24"/>
          <w:lang w:val="es-CO"/>
        </w:rPr>
        <w:t xml:space="preserve"> y</w:t>
      </w:r>
      <w:r w:rsidRPr="00835722">
        <w:rPr>
          <w:rFonts w:ascii="Arial" w:hAnsi="Arial" w:cs="Arial"/>
          <w:sz w:val="24"/>
          <w:szCs w:val="24"/>
          <w:lang w:val="es-CO"/>
        </w:rPr>
        <w:t xml:space="preserve"> arrendamiento de vehículo el cual se alquiló para uso del </w:t>
      </w:r>
      <w:r>
        <w:rPr>
          <w:rFonts w:ascii="Arial" w:hAnsi="Arial" w:cs="Arial"/>
          <w:sz w:val="24"/>
          <w:szCs w:val="24"/>
          <w:lang w:val="es-CO"/>
        </w:rPr>
        <w:t>d</w:t>
      </w:r>
      <w:r w:rsidRPr="00835722">
        <w:rPr>
          <w:rFonts w:ascii="Arial" w:hAnsi="Arial" w:cs="Arial"/>
          <w:sz w:val="24"/>
          <w:szCs w:val="24"/>
          <w:lang w:val="es-CO"/>
        </w:rPr>
        <w:t xml:space="preserve">irector y otro para trabajo misional, el cual para este periodo tuvo un aumento considerable del </w:t>
      </w:r>
      <w:r w:rsidR="00077FED">
        <w:rPr>
          <w:rFonts w:ascii="Arial" w:hAnsi="Arial" w:cs="Arial"/>
          <w:sz w:val="24"/>
          <w:szCs w:val="24"/>
          <w:lang w:val="es-CO"/>
        </w:rPr>
        <w:t>61</w:t>
      </w:r>
      <w:r w:rsidRPr="00835722">
        <w:rPr>
          <w:rFonts w:ascii="Arial" w:hAnsi="Arial" w:cs="Arial"/>
          <w:sz w:val="24"/>
          <w:szCs w:val="24"/>
          <w:lang w:val="es-CO"/>
        </w:rPr>
        <w:t>%.</w:t>
      </w:r>
    </w:p>
    <w:p w14:paraId="17B0CE87" w14:textId="57F17AE5" w:rsidR="00314E9D" w:rsidRPr="00835722" w:rsidRDefault="00314E9D" w:rsidP="00314E9D">
      <w:pPr>
        <w:tabs>
          <w:tab w:val="left" w:pos="6983"/>
        </w:tabs>
        <w:jc w:val="both"/>
        <w:rPr>
          <w:rFonts w:ascii="Arial" w:hAnsi="Arial" w:cs="Arial"/>
          <w:sz w:val="24"/>
          <w:szCs w:val="24"/>
          <w:lang w:val="es-CO"/>
        </w:rPr>
      </w:pPr>
      <w:r w:rsidRPr="00835722">
        <w:rPr>
          <w:rFonts w:ascii="Arial" w:hAnsi="Arial" w:cs="Arial"/>
          <w:sz w:val="24"/>
          <w:szCs w:val="24"/>
          <w:lang w:val="es-CO"/>
        </w:rPr>
        <w:t>El rubro de arrendamiento el aumento es notorio debido a</w:t>
      </w:r>
      <w:r>
        <w:rPr>
          <w:rFonts w:ascii="Arial" w:hAnsi="Arial" w:cs="Arial"/>
          <w:sz w:val="24"/>
          <w:szCs w:val="24"/>
          <w:lang w:val="es-CO"/>
        </w:rPr>
        <w:t>l cambio de instalaciones para su funcionamiento.</w:t>
      </w:r>
    </w:p>
    <w:p w14:paraId="45708224" w14:textId="327C4C6D" w:rsidR="00E5477D" w:rsidRPr="00835722" w:rsidRDefault="00220BC1" w:rsidP="00835722">
      <w:pPr>
        <w:tabs>
          <w:tab w:val="left" w:pos="6983"/>
        </w:tabs>
        <w:jc w:val="both"/>
        <w:rPr>
          <w:rFonts w:ascii="Arial" w:hAnsi="Arial" w:cs="Arial"/>
          <w:sz w:val="24"/>
          <w:szCs w:val="24"/>
          <w:lang w:val="es-CO"/>
        </w:rPr>
      </w:pPr>
      <w:r w:rsidRPr="00835722">
        <w:rPr>
          <w:rFonts w:ascii="Arial" w:hAnsi="Arial" w:cs="Arial"/>
          <w:sz w:val="24"/>
          <w:szCs w:val="24"/>
          <w:lang w:val="es-CO"/>
        </w:rPr>
        <w:t xml:space="preserve">Referente al rubro de servicios públicos </w:t>
      </w:r>
      <w:r w:rsidR="00E5477D" w:rsidRPr="00835722">
        <w:rPr>
          <w:rFonts w:ascii="Arial" w:hAnsi="Arial" w:cs="Arial"/>
          <w:sz w:val="24"/>
          <w:szCs w:val="24"/>
          <w:lang w:val="es-CO"/>
        </w:rPr>
        <w:t>tenemos las siguientes variaciones:</w:t>
      </w:r>
    </w:p>
    <w:p w14:paraId="12190EEC" w14:textId="674ACDD3" w:rsidR="00E5477D" w:rsidRPr="00835722" w:rsidRDefault="00077FED" w:rsidP="00835722">
      <w:pPr>
        <w:tabs>
          <w:tab w:val="left" w:pos="6983"/>
        </w:tabs>
        <w:jc w:val="both"/>
        <w:rPr>
          <w:rFonts w:ascii="Arial" w:hAnsi="Arial" w:cs="Arial"/>
          <w:sz w:val="24"/>
          <w:szCs w:val="24"/>
          <w:lang w:val="es-CO"/>
        </w:rPr>
      </w:pPr>
      <w:r w:rsidRPr="00077FED">
        <w:rPr>
          <w:noProof/>
        </w:rPr>
        <w:drawing>
          <wp:inline distT="0" distB="0" distL="0" distR="0" wp14:anchorId="3BC7093F" wp14:editId="5179133A">
            <wp:extent cx="5612130" cy="1270635"/>
            <wp:effectExtent l="0" t="0" r="762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270635"/>
                    </a:xfrm>
                    <a:prstGeom prst="rect">
                      <a:avLst/>
                    </a:prstGeom>
                  </pic:spPr>
                </pic:pic>
              </a:graphicData>
            </a:graphic>
          </wp:inline>
        </w:drawing>
      </w:r>
    </w:p>
    <w:p w14:paraId="44B9F84C" w14:textId="2C772E51" w:rsidR="00E5477D" w:rsidRPr="00835722" w:rsidRDefault="00E5477D" w:rsidP="00835722">
      <w:pPr>
        <w:tabs>
          <w:tab w:val="left" w:pos="6983"/>
        </w:tabs>
        <w:jc w:val="both"/>
        <w:rPr>
          <w:rFonts w:ascii="Arial" w:hAnsi="Arial" w:cs="Arial"/>
          <w:sz w:val="24"/>
          <w:szCs w:val="24"/>
          <w:lang w:val="es-CO"/>
        </w:rPr>
      </w:pPr>
      <w:r w:rsidRPr="00835722">
        <w:rPr>
          <w:rFonts w:ascii="Arial" w:hAnsi="Arial" w:cs="Arial"/>
          <w:b/>
          <w:bCs/>
          <w:sz w:val="24"/>
          <w:szCs w:val="24"/>
          <w:lang w:val="es-CO"/>
        </w:rPr>
        <w:t xml:space="preserve">Energía:  </w:t>
      </w:r>
      <w:r w:rsidRPr="00835722">
        <w:rPr>
          <w:rFonts w:ascii="Arial" w:hAnsi="Arial" w:cs="Arial"/>
          <w:sz w:val="24"/>
          <w:szCs w:val="24"/>
          <w:lang w:val="es-CO"/>
        </w:rPr>
        <w:t xml:space="preserve">Presentó un aumento </w:t>
      </w:r>
      <w:r w:rsidR="00077FED">
        <w:rPr>
          <w:rFonts w:ascii="Arial" w:hAnsi="Arial" w:cs="Arial"/>
          <w:sz w:val="24"/>
          <w:szCs w:val="24"/>
          <w:lang w:val="es-CO"/>
        </w:rPr>
        <w:t>187</w:t>
      </w:r>
      <w:r w:rsidRPr="00835722">
        <w:rPr>
          <w:rFonts w:ascii="Arial" w:hAnsi="Arial" w:cs="Arial"/>
          <w:sz w:val="24"/>
          <w:szCs w:val="24"/>
          <w:lang w:val="es-CO"/>
        </w:rPr>
        <w:t>%, t</w:t>
      </w:r>
      <w:r w:rsidR="0033508C" w:rsidRPr="00835722">
        <w:rPr>
          <w:rFonts w:ascii="Arial" w:hAnsi="Arial" w:cs="Arial"/>
          <w:sz w:val="24"/>
          <w:szCs w:val="24"/>
          <w:lang w:val="es-CO"/>
        </w:rPr>
        <w:t xml:space="preserve">uvo un </w:t>
      </w:r>
      <w:r w:rsidRPr="00835722">
        <w:rPr>
          <w:rFonts w:ascii="Arial" w:hAnsi="Arial" w:cs="Arial"/>
          <w:sz w:val="24"/>
          <w:szCs w:val="24"/>
          <w:lang w:val="es-CO"/>
        </w:rPr>
        <w:t xml:space="preserve">aumento de personal en las instalaciones, además el uso indebido de los equipos y la falta de </w:t>
      </w:r>
      <w:r w:rsidR="003557A8" w:rsidRPr="00835722">
        <w:rPr>
          <w:rFonts w:ascii="Arial" w:hAnsi="Arial" w:cs="Arial"/>
          <w:sz w:val="24"/>
          <w:szCs w:val="24"/>
          <w:lang w:val="es-CO"/>
        </w:rPr>
        <w:t>políticas de ahorro de energía.</w:t>
      </w:r>
    </w:p>
    <w:p w14:paraId="2314D44B" w14:textId="77E4982A" w:rsidR="0033508C" w:rsidRPr="00835722" w:rsidRDefault="003557A8" w:rsidP="00835722">
      <w:pPr>
        <w:tabs>
          <w:tab w:val="left" w:pos="6983"/>
        </w:tabs>
        <w:jc w:val="both"/>
        <w:rPr>
          <w:rFonts w:ascii="Arial" w:hAnsi="Arial" w:cs="Arial"/>
          <w:sz w:val="24"/>
          <w:szCs w:val="24"/>
          <w:lang w:val="es-CO"/>
        </w:rPr>
      </w:pPr>
      <w:r w:rsidRPr="00835722">
        <w:rPr>
          <w:rFonts w:ascii="Arial" w:hAnsi="Arial" w:cs="Arial"/>
          <w:b/>
          <w:bCs/>
          <w:sz w:val="24"/>
          <w:szCs w:val="24"/>
          <w:lang w:val="es-CO"/>
        </w:rPr>
        <w:t xml:space="preserve">Teléfono:  </w:t>
      </w:r>
      <w:r w:rsidR="008E280A">
        <w:rPr>
          <w:rFonts w:ascii="Arial" w:hAnsi="Arial" w:cs="Arial"/>
          <w:sz w:val="24"/>
          <w:szCs w:val="24"/>
          <w:lang w:val="es-CO"/>
        </w:rPr>
        <w:t>Tuvo una disminución en pesos de $1.5</w:t>
      </w:r>
      <w:r w:rsidR="006E045B">
        <w:rPr>
          <w:rFonts w:ascii="Arial" w:hAnsi="Arial" w:cs="Arial"/>
          <w:sz w:val="24"/>
          <w:szCs w:val="24"/>
          <w:lang w:val="es-CO"/>
        </w:rPr>
        <w:t>79.508</w:t>
      </w:r>
      <w:r w:rsidR="008E280A">
        <w:rPr>
          <w:rFonts w:ascii="Arial" w:hAnsi="Arial" w:cs="Arial"/>
          <w:sz w:val="24"/>
          <w:szCs w:val="24"/>
          <w:lang w:val="es-CO"/>
        </w:rPr>
        <w:t xml:space="preserve"> equivalente al </w:t>
      </w:r>
      <w:r w:rsidR="006E045B">
        <w:rPr>
          <w:rFonts w:ascii="Arial" w:hAnsi="Arial" w:cs="Arial"/>
          <w:sz w:val="24"/>
          <w:szCs w:val="24"/>
          <w:lang w:val="es-CO"/>
        </w:rPr>
        <w:t>35</w:t>
      </w:r>
      <w:r w:rsidR="008E280A">
        <w:rPr>
          <w:rFonts w:ascii="Arial" w:hAnsi="Arial" w:cs="Arial"/>
          <w:sz w:val="24"/>
          <w:szCs w:val="24"/>
          <w:lang w:val="es-CO"/>
        </w:rPr>
        <w:t>% de variación con respecto a la vigencia anterior.</w:t>
      </w:r>
    </w:p>
    <w:p w14:paraId="31AC1EF0" w14:textId="4A5EF358" w:rsidR="003557A8" w:rsidRPr="00835722" w:rsidRDefault="003557A8" w:rsidP="00835722">
      <w:pPr>
        <w:tabs>
          <w:tab w:val="left" w:pos="6983"/>
        </w:tabs>
        <w:jc w:val="both"/>
        <w:rPr>
          <w:rFonts w:ascii="Arial" w:hAnsi="Arial" w:cs="Arial"/>
          <w:sz w:val="24"/>
          <w:szCs w:val="24"/>
          <w:lang w:val="es-CO"/>
        </w:rPr>
      </w:pPr>
      <w:r w:rsidRPr="00835722">
        <w:rPr>
          <w:rFonts w:ascii="Arial" w:hAnsi="Arial" w:cs="Arial"/>
          <w:b/>
          <w:bCs/>
          <w:sz w:val="24"/>
          <w:szCs w:val="24"/>
          <w:lang w:val="es-CO"/>
        </w:rPr>
        <w:t xml:space="preserve">Internet:  </w:t>
      </w:r>
      <w:r w:rsidRPr="00835722">
        <w:rPr>
          <w:rFonts w:ascii="Arial" w:hAnsi="Arial" w:cs="Arial"/>
          <w:sz w:val="24"/>
          <w:szCs w:val="24"/>
          <w:lang w:val="es-CO"/>
        </w:rPr>
        <w:t xml:space="preserve">Presentó </w:t>
      </w:r>
      <w:r w:rsidR="0033508C" w:rsidRPr="00835722">
        <w:rPr>
          <w:rFonts w:ascii="Arial" w:hAnsi="Arial" w:cs="Arial"/>
          <w:sz w:val="24"/>
          <w:szCs w:val="24"/>
          <w:lang w:val="es-CO"/>
        </w:rPr>
        <w:t>u</w:t>
      </w:r>
      <w:r w:rsidR="006E045B">
        <w:rPr>
          <w:rFonts w:ascii="Arial" w:hAnsi="Arial" w:cs="Arial"/>
          <w:sz w:val="24"/>
          <w:szCs w:val="24"/>
          <w:lang w:val="es-CO"/>
        </w:rPr>
        <w:t>na variación no significativa equivalente al -4%.</w:t>
      </w:r>
    </w:p>
    <w:p w14:paraId="11BCD794" w14:textId="38FE03F2" w:rsidR="002907C7" w:rsidRDefault="002907C7" w:rsidP="00835722">
      <w:pPr>
        <w:tabs>
          <w:tab w:val="left" w:pos="6983"/>
        </w:tabs>
        <w:jc w:val="both"/>
        <w:rPr>
          <w:rFonts w:ascii="Arial" w:hAnsi="Arial" w:cs="Arial"/>
          <w:sz w:val="24"/>
          <w:szCs w:val="24"/>
          <w:lang w:val="es-CO"/>
        </w:rPr>
      </w:pPr>
    </w:p>
    <w:p w14:paraId="03EA283E" w14:textId="4341B982" w:rsidR="00B06D2A" w:rsidRDefault="00B06D2A" w:rsidP="00835722">
      <w:pPr>
        <w:tabs>
          <w:tab w:val="left" w:pos="6983"/>
        </w:tabs>
        <w:jc w:val="both"/>
        <w:rPr>
          <w:rFonts w:ascii="Arial" w:hAnsi="Arial" w:cs="Arial"/>
          <w:sz w:val="24"/>
          <w:szCs w:val="24"/>
          <w:lang w:val="es-CO"/>
        </w:rPr>
      </w:pPr>
    </w:p>
    <w:p w14:paraId="4B7688A5" w14:textId="03253E84" w:rsidR="00B06D2A" w:rsidRDefault="00B06D2A" w:rsidP="00835722">
      <w:pPr>
        <w:tabs>
          <w:tab w:val="left" w:pos="6983"/>
        </w:tabs>
        <w:jc w:val="both"/>
        <w:rPr>
          <w:rFonts w:ascii="Arial" w:hAnsi="Arial" w:cs="Arial"/>
          <w:sz w:val="24"/>
          <w:szCs w:val="24"/>
          <w:lang w:val="es-CO"/>
        </w:rPr>
      </w:pPr>
    </w:p>
    <w:p w14:paraId="46DC0FD1" w14:textId="6BEFD1F9" w:rsidR="00B06D2A" w:rsidRDefault="00B06D2A" w:rsidP="00835722">
      <w:pPr>
        <w:tabs>
          <w:tab w:val="left" w:pos="6983"/>
        </w:tabs>
        <w:jc w:val="both"/>
        <w:rPr>
          <w:rFonts w:ascii="Arial" w:hAnsi="Arial" w:cs="Arial"/>
          <w:sz w:val="24"/>
          <w:szCs w:val="24"/>
          <w:lang w:val="es-CO"/>
        </w:rPr>
      </w:pPr>
    </w:p>
    <w:p w14:paraId="6A573EC8" w14:textId="5E5DFEB9" w:rsidR="00B06D2A" w:rsidRDefault="00B06D2A" w:rsidP="00835722">
      <w:pPr>
        <w:tabs>
          <w:tab w:val="left" w:pos="6983"/>
        </w:tabs>
        <w:jc w:val="both"/>
        <w:rPr>
          <w:rFonts w:ascii="Arial" w:hAnsi="Arial" w:cs="Arial"/>
          <w:sz w:val="24"/>
          <w:szCs w:val="24"/>
          <w:lang w:val="es-CO"/>
        </w:rPr>
      </w:pPr>
    </w:p>
    <w:p w14:paraId="60ACA775" w14:textId="771A5EEF" w:rsidR="00314E9D" w:rsidRDefault="00314E9D" w:rsidP="00314E9D">
      <w:pPr>
        <w:pStyle w:val="Prrafodelista"/>
        <w:numPr>
          <w:ilvl w:val="0"/>
          <w:numId w:val="1"/>
        </w:numPr>
        <w:tabs>
          <w:tab w:val="left" w:pos="6983"/>
        </w:tabs>
        <w:jc w:val="center"/>
        <w:rPr>
          <w:rFonts w:ascii="Arial" w:hAnsi="Arial" w:cs="Arial"/>
          <w:b/>
          <w:bCs/>
          <w:sz w:val="28"/>
          <w:szCs w:val="28"/>
          <w:lang w:val="es-CO"/>
        </w:rPr>
      </w:pPr>
      <w:bookmarkStart w:id="5" w:name="_Hlk101769138"/>
      <w:r w:rsidRPr="00314E9D">
        <w:rPr>
          <w:rFonts w:ascii="Arial" w:hAnsi="Arial" w:cs="Arial"/>
          <w:b/>
          <w:bCs/>
          <w:sz w:val="28"/>
          <w:szCs w:val="28"/>
          <w:lang w:val="es-CO"/>
        </w:rPr>
        <w:lastRenderedPageBreak/>
        <w:t>GRÁFICOS COMPARATIVOS PERIODO 2020-2021</w:t>
      </w:r>
    </w:p>
    <w:bookmarkEnd w:id="5"/>
    <w:p w14:paraId="4E4F4871" w14:textId="529AE68D" w:rsidR="00314E9D" w:rsidRDefault="00314E9D" w:rsidP="00314E9D">
      <w:pPr>
        <w:tabs>
          <w:tab w:val="left" w:pos="6983"/>
        </w:tabs>
        <w:rPr>
          <w:rFonts w:ascii="Arial" w:hAnsi="Arial" w:cs="Arial"/>
          <w:b/>
          <w:bCs/>
          <w:sz w:val="28"/>
          <w:szCs w:val="28"/>
          <w:lang w:val="es-CO"/>
        </w:rPr>
      </w:pPr>
    </w:p>
    <w:p w14:paraId="1B8B7E59" w14:textId="18A1A45A" w:rsidR="00314E9D" w:rsidRDefault="00314E9D" w:rsidP="00314E9D">
      <w:pPr>
        <w:tabs>
          <w:tab w:val="left" w:pos="6983"/>
        </w:tabs>
        <w:rPr>
          <w:rFonts w:ascii="Arial" w:hAnsi="Arial" w:cs="Arial"/>
          <w:b/>
          <w:bCs/>
          <w:sz w:val="28"/>
          <w:szCs w:val="28"/>
          <w:lang w:val="es-CO"/>
        </w:rPr>
      </w:pPr>
      <w:r>
        <w:rPr>
          <w:noProof/>
        </w:rPr>
        <w:drawing>
          <wp:inline distT="0" distB="0" distL="0" distR="0" wp14:anchorId="7AF0CC68" wp14:editId="22A7DCBC">
            <wp:extent cx="4572000" cy="2743200"/>
            <wp:effectExtent l="0" t="0" r="0" b="0"/>
            <wp:docPr id="9" name="Gráfico 9">
              <a:extLst xmlns:a="http://schemas.openxmlformats.org/drawingml/2006/main">
                <a:ext uri="{FF2B5EF4-FFF2-40B4-BE49-F238E27FC236}">
                  <a16:creationId xmlns:a16="http://schemas.microsoft.com/office/drawing/2014/main" id="{02BDB945-4E42-4029-BB0F-27858FE872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2ACCB7" w14:textId="02041667" w:rsidR="00314E9D" w:rsidRPr="00B06D2A" w:rsidRDefault="00B06D2A" w:rsidP="00314E9D">
      <w:pPr>
        <w:tabs>
          <w:tab w:val="left" w:pos="6983"/>
        </w:tabs>
        <w:rPr>
          <w:rFonts w:ascii="Arial" w:hAnsi="Arial" w:cs="Arial"/>
          <w:b/>
          <w:bCs/>
          <w:i/>
          <w:iCs/>
          <w:sz w:val="18"/>
          <w:szCs w:val="18"/>
          <w:lang w:val="es-CO"/>
        </w:rPr>
      </w:pPr>
      <w:r w:rsidRPr="00B06D2A">
        <w:rPr>
          <w:rFonts w:ascii="Arial" w:hAnsi="Arial" w:cs="Arial"/>
          <w:b/>
          <w:bCs/>
          <w:i/>
          <w:iCs/>
          <w:sz w:val="18"/>
          <w:szCs w:val="18"/>
          <w:lang w:val="es-CO"/>
        </w:rPr>
        <w:t>GRÁFICO No. 1</w:t>
      </w:r>
    </w:p>
    <w:p w14:paraId="71DC11E8" w14:textId="77777777" w:rsidR="00B06D2A" w:rsidRDefault="00B06D2A" w:rsidP="00314E9D">
      <w:pPr>
        <w:tabs>
          <w:tab w:val="left" w:pos="6983"/>
        </w:tabs>
        <w:rPr>
          <w:rFonts w:ascii="Arial" w:hAnsi="Arial" w:cs="Arial"/>
          <w:b/>
          <w:bCs/>
          <w:sz w:val="28"/>
          <w:szCs w:val="28"/>
          <w:lang w:val="es-CO"/>
        </w:rPr>
      </w:pPr>
    </w:p>
    <w:p w14:paraId="4875AD13" w14:textId="57C19B4B" w:rsidR="00314E9D" w:rsidRPr="00547927" w:rsidRDefault="00314E9D" w:rsidP="00314E9D">
      <w:pPr>
        <w:tabs>
          <w:tab w:val="left" w:pos="6983"/>
        </w:tabs>
        <w:spacing w:line="240" w:lineRule="auto"/>
        <w:jc w:val="both"/>
        <w:rPr>
          <w:rFonts w:ascii="Arial" w:hAnsi="Arial" w:cs="Arial"/>
          <w:sz w:val="24"/>
          <w:szCs w:val="24"/>
          <w:lang w:val="es-CO"/>
        </w:rPr>
      </w:pPr>
      <w:r w:rsidRPr="00547927">
        <w:rPr>
          <w:rFonts w:ascii="Arial" w:hAnsi="Arial" w:cs="Arial"/>
          <w:sz w:val="24"/>
          <w:szCs w:val="24"/>
          <w:lang w:val="es-CO"/>
        </w:rPr>
        <w:t xml:space="preserve">De acuerdo con la tabla No. </w:t>
      </w:r>
      <w:r w:rsidR="00B06D2A">
        <w:rPr>
          <w:rFonts w:ascii="Arial" w:hAnsi="Arial" w:cs="Arial"/>
          <w:sz w:val="24"/>
          <w:szCs w:val="24"/>
          <w:lang w:val="es-CO"/>
        </w:rPr>
        <w:t>3</w:t>
      </w:r>
      <w:r w:rsidRPr="00547927">
        <w:rPr>
          <w:rFonts w:ascii="Arial" w:hAnsi="Arial" w:cs="Arial"/>
          <w:sz w:val="24"/>
          <w:szCs w:val="24"/>
          <w:lang w:val="es-CO"/>
        </w:rPr>
        <w:t xml:space="preserve"> se puede observar que en el periodo </w:t>
      </w:r>
      <w:r w:rsidR="00052502">
        <w:rPr>
          <w:rFonts w:ascii="Arial" w:hAnsi="Arial" w:cs="Arial"/>
          <w:sz w:val="24"/>
          <w:szCs w:val="24"/>
          <w:lang w:val="es-CO"/>
        </w:rPr>
        <w:t>agosto</w:t>
      </w:r>
      <w:r w:rsidRPr="00547927">
        <w:rPr>
          <w:rFonts w:ascii="Arial" w:hAnsi="Arial" w:cs="Arial"/>
          <w:sz w:val="24"/>
          <w:szCs w:val="24"/>
          <w:lang w:val="es-CO"/>
        </w:rPr>
        <w:t xml:space="preserve"> </w:t>
      </w:r>
      <w:r w:rsidR="00241188" w:rsidRPr="00547927">
        <w:rPr>
          <w:rFonts w:ascii="Arial" w:hAnsi="Arial" w:cs="Arial"/>
          <w:sz w:val="24"/>
          <w:szCs w:val="24"/>
          <w:lang w:val="es-CO"/>
        </w:rPr>
        <w:t>2021 se</w:t>
      </w:r>
      <w:r w:rsidRPr="00547927">
        <w:rPr>
          <w:rFonts w:ascii="Arial" w:hAnsi="Arial" w:cs="Arial"/>
          <w:sz w:val="24"/>
          <w:szCs w:val="24"/>
          <w:lang w:val="es-CO"/>
        </w:rPr>
        <w:t xml:space="preserve"> reflejó </w:t>
      </w:r>
      <w:r w:rsidR="00241188">
        <w:rPr>
          <w:rFonts w:ascii="Arial" w:hAnsi="Arial" w:cs="Arial"/>
          <w:sz w:val="24"/>
          <w:szCs w:val="24"/>
          <w:lang w:val="es-CO"/>
        </w:rPr>
        <w:t>aumento significativo y en el mes de septiembre 2021 una disminución considerable con respecto al periodo 2020; esto obedece a temas de contratación</w:t>
      </w:r>
      <w:r w:rsidRPr="00547927">
        <w:rPr>
          <w:rFonts w:ascii="Arial" w:hAnsi="Arial" w:cs="Arial"/>
          <w:sz w:val="24"/>
          <w:szCs w:val="24"/>
          <w:lang w:val="es-CO"/>
        </w:rPr>
        <w:t>.</w:t>
      </w:r>
    </w:p>
    <w:p w14:paraId="4A6C36F5" w14:textId="536AF08F" w:rsidR="00314E9D" w:rsidRDefault="008B0693" w:rsidP="00314E9D">
      <w:pPr>
        <w:tabs>
          <w:tab w:val="left" w:pos="6983"/>
        </w:tabs>
        <w:rPr>
          <w:rFonts w:ascii="Arial" w:hAnsi="Arial" w:cs="Arial"/>
          <w:b/>
          <w:bCs/>
          <w:sz w:val="28"/>
          <w:szCs w:val="28"/>
          <w:lang w:val="es-CO"/>
        </w:rPr>
      </w:pPr>
      <w:r>
        <w:rPr>
          <w:noProof/>
        </w:rPr>
        <w:lastRenderedPageBreak/>
        <w:drawing>
          <wp:inline distT="0" distB="0" distL="0" distR="0" wp14:anchorId="489B843A" wp14:editId="45F7656D">
            <wp:extent cx="3728483" cy="2204484"/>
            <wp:effectExtent l="0" t="0" r="5715" b="5715"/>
            <wp:docPr id="13" name="Gráfico 13">
              <a:extLst xmlns:a="http://schemas.openxmlformats.org/drawingml/2006/main">
                <a:ext uri="{FF2B5EF4-FFF2-40B4-BE49-F238E27FC236}">
                  <a16:creationId xmlns:a16="http://schemas.microsoft.com/office/drawing/2014/main" id="{E4E0473F-F7B3-4B0E-B8DF-1A8A6D793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AB475A" w14:textId="40D7743D" w:rsidR="00896402" w:rsidRPr="00B06D2A" w:rsidRDefault="00B06D2A" w:rsidP="00314E9D">
      <w:pPr>
        <w:tabs>
          <w:tab w:val="left" w:pos="6983"/>
        </w:tabs>
        <w:rPr>
          <w:rFonts w:ascii="Arial" w:hAnsi="Arial" w:cs="Arial"/>
          <w:b/>
          <w:bCs/>
          <w:sz w:val="18"/>
          <w:szCs w:val="18"/>
          <w:lang w:val="es-CO"/>
        </w:rPr>
      </w:pPr>
      <w:r w:rsidRPr="00B06D2A">
        <w:rPr>
          <w:rFonts w:ascii="Arial" w:hAnsi="Arial" w:cs="Arial"/>
          <w:b/>
          <w:bCs/>
          <w:sz w:val="18"/>
          <w:szCs w:val="18"/>
          <w:lang w:val="es-CO"/>
        </w:rPr>
        <w:t>GRÁFICO No. 2</w:t>
      </w:r>
    </w:p>
    <w:p w14:paraId="05531DD8" w14:textId="192BD0C1" w:rsidR="00314E9D" w:rsidRPr="00835722" w:rsidRDefault="00896402" w:rsidP="00896402">
      <w:pPr>
        <w:tabs>
          <w:tab w:val="left" w:pos="6983"/>
        </w:tabs>
        <w:spacing w:line="240" w:lineRule="auto"/>
        <w:jc w:val="both"/>
        <w:rPr>
          <w:rFonts w:ascii="Arial" w:hAnsi="Arial" w:cs="Arial"/>
          <w:sz w:val="24"/>
          <w:szCs w:val="24"/>
          <w:lang w:val="es-CO"/>
        </w:rPr>
      </w:pPr>
      <w:r w:rsidRPr="00547927">
        <w:rPr>
          <w:rFonts w:ascii="Arial" w:hAnsi="Arial" w:cs="Arial"/>
          <w:sz w:val="24"/>
          <w:szCs w:val="24"/>
          <w:lang w:val="es-CO"/>
        </w:rPr>
        <w:t xml:space="preserve">Corresponde a la tabla número </w:t>
      </w:r>
      <w:r w:rsidR="00B06D2A">
        <w:rPr>
          <w:rFonts w:ascii="Arial" w:hAnsi="Arial" w:cs="Arial"/>
          <w:sz w:val="24"/>
          <w:szCs w:val="24"/>
          <w:lang w:val="es-CO"/>
        </w:rPr>
        <w:t>5</w:t>
      </w:r>
      <w:r w:rsidRPr="00547927">
        <w:rPr>
          <w:rFonts w:ascii="Arial" w:hAnsi="Arial" w:cs="Arial"/>
          <w:sz w:val="24"/>
          <w:szCs w:val="24"/>
          <w:lang w:val="es-CO"/>
        </w:rPr>
        <w:t xml:space="preserve"> donde se clasifican el personal prestador de servicio de la entidad, se </w:t>
      </w:r>
      <w:r w:rsidR="00442EE2" w:rsidRPr="00547927">
        <w:rPr>
          <w:rFonts w:ascii="Arial" w:hAnsi="Arial" w:cs="Arial"/>
          <w:sz w:val="24"/>
          <w:szCs w:val="24"/>
          <w:lang w:val="es-CO"/>
        </w:rPr>
        <w:t>observa variaciones</w:t>
      </w:r>
      <w:r>
        <w:rPr>
          <w:rFonts w:ascii="Arial" w:hAnsi="Arial" w:cs="Arial"/>
          <w:sz w:val="24"/>
          <w:szCs w:val="24"/>
          <w:lang w:val="es-CO"/>
        </w:rPr>
        <w:t xml:space="preserve"> significativas en ambas áreas por la limitación en las contrataciones a causa del COVID 19.</w:t>
      </w:r>
    </w:p>
    <w:p w14:paraId="65B1A1FC" w14:textId="30FA0D68" w:rsidR="002907C7" w:rsidRDefault="00281AAE" w:rsidP="00835722">
      <w:pPr>
        <w:tabs>
          <w:tab w:val="left" w:pos="6983"/>
        </w:tabs>
        <w:jc w:val="both"/>
        <w:rPr>
          <w:rFonts w:ascii="Arial" w:hAnsi="Arial" w:cs="Arial"/>
          <w:sz w:val="24"/>
          <w:szCs w:val="24"/>
          <w:lang w:val="es-CO"/>
        </w:rPr>
      </w:pPr>
      <w:r>
        <w:rPr>
          <w:noProof/>
        </w:rPr>
        <w:drawing>
          <wp:inline distT="0" distB="0" distL="0" distR="0" wp14:anchorId="47BDBE8E" wp14:editId="1C8B5331">
            <wp:extent cx="3678865" cy="2083982"/>
            <wp:effectExtent l="0" t="0" r="17145" b="12065"/>
            <wp:docPr id="11" name="Gráfico 11">
              <a:extLst xmlns:a="http://schemas.openxmlformats.org/drawingml/2006/main">
                <a:ext uri="{FF2B5EF4-FFF2-40B4-BE49-F238E27FC236}">
                  <a16:creationId xmlns:a16="http://schemas.microsoft.com/office/drawing/2014/main" id="{B322C59B-E47D-4813-A4C8-3329118F2A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E11C7C" w14:textId="6C1CB228" w:rsidR="00281AAE" w:rsidRPr="00442EE2" w:rsidRDefault="00442EE2" w:rsidP="00835722">
      <w:pPr>
        <w:tabs>
          <w:tab w:val="left" w:pos="6983"/>
        </w:tabs>
        <w:jc w:val="both"/>
        <w:rPr>
          <w:rFonts w:ascii="Arial" w:hAnsi="Arial" w:cs="Arial"/>
          <w:b/>
          <w:bCs/>
          <w:i/>
          <w:iCs/>
          <w:sz w:val="18"/>
          <w:szCs w:val="18"/>
          <w:lang w:val="es-CO"/>
        </w:rPr>
      </w:pPr>
      <w:r w:rsidRPr="00442EE2">
        <w:rPr>
          <w:rFonts w:ascii="Arial" w:hAnsi="Arial" w:cs="Arial"/>
          <w:b/>
          <w:bCs/>
          <w:i/>
          <w:iCs/>
          <w:sz w:val="18"/>
          <w:szCs w:val="18"/>
          <w:lang w:val="es-CO"/>
        </w:rPr>
        <w:t>GRÁFICO No. 3</w:t>
      </w:r>
    </w:p>
    <w:p w14:paraId="67456740" w14:textId="047AAA9E" w:rsidR="00281AAE" w:rsidRDefault="00281AAE" w:rsidP="00281AAE">
      <w:pPr>
        <w:tabs>
          <w:tab w:val="left" w:pos="6983"/>
        </w:tabs>
        <w:spacing w:line="240" w:lineRule="auto"/>
        <w:jc w:val="both"/>
        <w:rPr>
          <w:rFonts w:ascii="Arial" w:hAnsi="Arial" w:cs="Arial"/>
          <w:sz w:val="24"/>
          <w:szCs w:val="24"/>
          <w:lang w:val="es-CO"/>
        </w:rPr>
      </w:pPr>
      <w:r w:rsidRPr="00547927">
        <w:rPr>
          <w:rFonts w:ascii="Arial" w:hAnsi="Arial" w:cs="Arial"/>
          <w:sz w:val="24"/>
          <w:szCs w:val="24"/>
          <w:lang w:val="es-CO"/>
        </w:rPr>
        <w:t xml:space="preserve">Pertenece a la tabla número </w:t>
      </w:r>
      <w:r w:rsidR="00442EE2">
        <w:rPr>
          <w:rFonts w:ascii="Arial" w:hAnsi="Arial" w:cs="Arial"/>
          <w:sz w:val="24"/>
          <w:szCs w:val="24"/>
          <w:lang w:val="es-CO"/>
        </w:rPr>
        <w:t>6</w:t>
      </w:r>
      <w:r w:rsidRPr="00547927">
        <w:rPr>
          <w:rFonts w:ascii="Arial" w:hAnsi="Arial" w:cs="Arial"/>
          <w:sz w:val="24"/>
          <w:szCs w:val="24"/>
          <w:lang w:val="es-CO"/>
        </w:rPr>
        <w:t xml:space="preserve">, acumulado de gastos de viajes y viáticos de funcionarios ejecutados durante el periodo </w:t>
      </w:r>
      <w:r>
        <w:rPr>
          <w:rFonts w:ascii="Arial" w:hAnsi="Arial" w:cs="Arial"/>
          <w:sz w:val="24"/>
          <w:szCs w:val="24"/>
          <w:lang w:val="es-CO"/>
        </w:rPr>
        <w:t>julio a septiembre</w:t>
      </w:r>
      <w:r w:rsidRPr="00547927">
        <w:rPr>
          <w:rFonts w:ascii="Arial" w:hAnsi="Arial" w:cs="Arial"/>
          <w:sz w:val="24"/>
          <w:szCs w:val="24"/>
          <w:lang w:val="es-CO"/>
        </w:rPr>
        <w:t xml:space="preserve"> del año 2021y 2020, se puede deducir que los gastos ejecutados por concepto viáticos a funcionarios se incrementaron en $</w:t>
      </w:r>
      <w:r>
        <w:rPr>
          <w:rFonts w:ascii="Arial" w:hAnsi="Arial" w:cs="Arial"/>
          <w:sz w:val="24"/>
          <w:szCs w:val="24"/>
          <w:lang w:val="es-CO"/>
        </w:rPr>
        <w:t xml:space="preserve">9.528.310 </w:t>
      </w:r>
      <w:r w:rsidRPr="00547927">
        <w:rPr>
          <w:rFonts w:ascii="Arial" w:hAnsi="Arial" w:cs="Arial"/>
          <w:sz w:val="24"/>
          <w:szCs w:val="24"/>
          <w:lang w:val="es-CO"/>
        </w:rPr>
        <w:t>con un</w:t>
      </w:r>
      <w:r w:rsidRPr="008F427C">
        <w:rPr>
          <w:lang w:val="es-CO"/>
        </w:rPr>
        <w:t xml:space="preserve"> </w:t>
      </w:r>
      <w:r w:rsidRPr="00547927">
        <w:rPr>
          <w:rFonts w:ascii="Arial" w:hAnsi="Arial" w:cs="Arial"/>
          <w:sz w:val="24"/>
          <w:szCs w:val="24"/>
          <w:lang w:val="es-CO"/>
        </w:rPr>
        <w:t xml:space="preserve">porcentaje del </w:t>
      </w:r>
      <w:r>
        <w:rPr>
          <w:rFonts w:ascii="Arial" w:hAnsi="Arial" w:cs="Arial"/>
          <w:sz w:val="24"/>
          <w:szCs w:val="24"/>
          <w:lang w:val="es-CO"/>
        </w:rPr>
        <w:t>(1.844</w:t>
      </w:r>
      <w:r w:rsidRPr="00547927">
        <w:rPr>
          <w:rFonts w:ascii="Arial" w:hAnsi="Arial" w:cs="Arial"/>
          <w:sz w:val="24"/>
          <w:szCs w:val="24"/>
          <w:lang w:val="es-CO"/>
        </w:rPr>
        <w:t>%</w:t>
      </w:r>
      <w:r>
        <w:rPr>
          <w:rFonts w:ascii="Arial" w:hAnsi="Arial" w:cs="Arial"/>
          <w:sz w:val="24"/>
          <w:szCs w:val="24"/>
          <w:lang w:val="es-CO"/>
        </w:rPr>
        <w:t>)</w:t>
      </w:r>
      <w:r w:rsidR="004E59C8">
        <w:rPr>
          <w:rFonts w:ascii="Arial" w:hAnsi="Arial" w:cs="Arial"/>
          <w:sz w:val="24"/>
          <w:szCs w:val="24"/>
          <w:lang w:val="es-CO"/>
        </w:rPr>
        <w:t xml:space="preserve"> </w:t>
      </w:r>
      <w:r w:rsidRPr="00547927">
        <w:rPr>
          <w:rFonts w:ascii="Arial" w:hAnsi="Arial" w:cs="Arial"/>
          <w:sz w:val="24"/>
          <w:szCs w:val="24"/>
          <w:lang w:val="es-CO"/>
        </w:rPr>
        <w:t xml:space="preserve">para el periodo objeto </w:t>
      </w:r>
      <w:r w:rsidRPr="00547927">
        <w:rPr>
          <w:rFonts w:ascii="Arial" w:hAnsi="Arial" w:cs="Arial"/>
          <w:sz w:val="24"/>
          <w:szCs w:val="24"/>
          <w:lang w:val="es-CO"/>
        </w:rPr>
        <w:lastRenderedPageBreak/>
        <w:t>de verificación. Igualmente hubo aumento en gastos de viaje</w:t>
      </w:r>
      <w:r>
        <w:rPr>
          <w:rFonts w:ascii="Arial" w:hAnsi="Arial" w:cs="Arial"/>
          <w:sz w:val="24"/>
          <w:szCs w:val="24"/>
          <w:lang w:val="es-CO"/>
        </w:rPr>
        <w:t xml:space="preserve"> de $4.036.395 con un porcentaje del (1802%) </w:t>
      </w:r>
      <w:r w:rsidRPr="00547927">
        <w:rPr>
          <w:rFonts w:ascii="Arial" w:hAnsi="Arial" w:cs="Arial"/>
          <w:sz w:val="24"/>
          <w:szCs w:val="24"/>
          <w:lang w:val="es-CO"/>
        </w:rPr>
        <w:t>en la ejecución del periodo de 2021.</w:t>
      </w:r>
    </w:p>
    <w:p w14:paraId="7E64506B" w14:textId="6440616A" w:rsidR="00366E9C" w:rsidRDefault="006E045B" w:rsidP="00281AAE">
      <w:pPr>
        <w:tabs>
          <w:tab w:val="left" w:pos="6983"/>
        </w:tabs>
        <w:spacing w:line="240" w:lineRule="auto"/>
        <w:jc w:val="both"/>
        <w:rPr>
          <w:rFonts w:ascii="Arial" w:hAnsi="Arial" w:cs="Arial"/>
          <w:sz w:val="24"/>
          <w:szCs w:val="24"/>
          <w:lang w:val="es-CO"/>
        </w:rPr>
      </w:pPr>
      <w:r>
        <w:rPr>
          <w:noProof/>
        </w:rPr>
        <w:drawing>
          <wp:inline distT="0" distB="0" distL="0" distR="0" wp14:anchorId="14E5FCB9" wp14:editId="2C452DD6">
            <wp:extent cx="4458586" cy="2417135"/>
            <wp:effectExtent l="0" t="0" r="18415" b="2540"/>
            <wp:docPr id="12" name="Gráfico 12">
              <a:extLst xmlns:a="http://schemas.openxmlformats.org/drawingml/2006/main">
                <a:ext uri="{FF2B5EF4-FFF2-40B4-BE49-F238E27FC236}">
                  <a16:creationId xmlns:a16="http://schemas.microsoft.com/office/drawing/2014/main" id="{97241F33-C4C4-4786-91FD-A78FC5326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44EC75" w14:textId="61036101" w:rsidR="00450F3C" w:rsidRPr="00442EE2" w:rsidRDefault="00442EE2" w:rsidP="00281AAE">
      <w:pPr>
        <w:tabs>
          <w:tab w:val="left" w:pos="6983"/>
        </w:tabs>
        <w:spacing w:line="240" w:lineRule="auto"/>
        <w:jc w:val="both"/>
        <w:rPr>
          <w:rFonts w:ascii="Arial" w:hAnsi="Arial" w:cs="Arial"/>
          <w:b/>
          <w:bCs/>
          <w:i/>
          <w:iCs/>
          <w:sz w:val="18"/>
          <w:szCs w:val="18"/>
          <w:lang w:val="es-CO"/>
        </w:rPr>
      </w:pPr>
      <w:r w:rsidRPr="00442EE2">
        <w:rPr>
          <w:rFonts w:ascii="Arial" w:hAnsi="Arial" w:cs="Arial"/>
          <w:b/>
          <w:bCs/>
          <w:i/>
          <w:iCs/>
          <w:sz w:val="18"/>
          <w:szCs w:val="18"/>
          <w:lang w:val="es-CO"/>
        </w:rPr>
        <w:t>GRAFICO No. 4</w:t>
      </w:r>
    </w:p>
    <w:p w14:paraId="4F368E8D" w14:textId="7B0796C1" w:rsidR="00450F3C" w:rsidRDefault="00450F3C" w:rsidP="00281AAE">
      <w:pPr>
        <w:tabs>
          <w:tab w:val="left" w:pos="6983"/>
        </w:tabs>
        <w:spacing w:line="240" w:lineRule="auto"/>
        <w:jc w:val="both"/>
        <w:rPr>
          <w:rFonts w:ascii="Arial" w:hAnsi="Arial" w:cs="Arial"/>
          <w:sz w:val="24"/>
          <w:szCs w:val="24"/>
          <w:lang w:val="es-CO"/>
        </w:rPr>
      </w:pPr>
    </w:p>
    <w:p w14:paraId="36782CE7" w14:textId="77777777" w:rsidR="00366E9C" w:rsidRPr="00547927" w:rsidRDefault="00366E9C" w:rsidP="00366E9C">
      <w:pPr>
        <w:tabs>
          <w:tab w:val="left" w:pos="6983"/>
        </w:tabs>
        <w:spacing w:line="240" w:lineRule="auto"/>
        <w:jc w:val="both"/>
        <w:rPr>
          <w:rFonts w:ascii="Arial" w:hAnsi="Arial" w:cs="Arial"/>
          <w:sz w:val="24"/>
          <w:szCs w:val="24"/>
          <w:lang w:val="es-CO"/>
        </w:rPr>
      </w:pPr>
      <w:bookmarkStart w:id="6" w:name="_Hlk101771722"/>
      <w:r w:rsidRPr="00547927">
        <w:rPr>
          <w:rFonts w:ascii="Arial" w:hAnsi="Arial" w:cs="Arial"/>
          <w:sz w:val="24"/>
          <w:szCs w:val="24"/>
          <w:lang w:val="es-CO"/>
        </w:rPr>
        <w:t>El gráfico 4 nos muestra la adquisición de bienes que presentó la entidad en pro del mejoramiento de las actividades y para uso estrictamente de la entidad; igualmente un aumento considerable del concepto de arrendamiento ya que la entidad está funcionando en nuevas instalaciones.</w:t>
      </w:r>
    </w:p>
    <w:bookmarkEnd w:id="6"/>
    <w:p w14:paraId="78CB7F9B" w14:textId="286810BE" w:rsidR="00366E9C" w:rsidRPr="00547927" w:rsidRDefault="00821D67" w:rsidP="00281AAE">
      <w:pPr>
        <w:tabs>
          <w:tab w:val="left" w:pos="6983"/>
        </w:tabs>
        <w:spacing w:line="240" w:lineRule="auto"/>
        <w:jc w:val="both"/>
        <w:rPr>
          <w:rFonts w:ascii="Arial" w:hAnsi="Arial" w:cs="Arial"/>
          <w:sz w:val="24"/>
          <w:szCs w:val="24"/>
          <w:lang w:val="es-CO"/>
        </w:rPr>
      </w:pPr>
      <w:r>
        <w:rPr>
          <w:noProof/>
        </w:rPr>
        <w:lastRenderedPageBreak/>
        <w:drawing>
          <wp:inline distT="0" distB="0" distL="0" distR="0" wp14:anchorId="3B571800" wp14:editId="6B699B94">
            <wp:extent cx="3919869" cy="2452577"/>
            <wp:effectExtent l="0" t="0" r="4445" b="5080"/>
            <wp:docPr id="15" name="Gráfico 15">
              <a:extLst xmlns:a="http://schemas.openxmlformats.org/drawingml/2006/main">
                <a:ext uri="{FF2B5EF4-FFF2-40B4-BE49-F238E27FC236}">
                  <a16:creationId xmlns:a16="http://schemas.microsoft.com/office/drawing/2014/main" id="{CAE1DDBC-A2A0-4091-8FF6-13F89CDC5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ACD26D" w14:textId="74FC2B07" w:rsidR="00281AAE" w:rsidRDefault="00281AAE" w:rsidP="00835722">
      <w:pPr>
        <w:tabs>
          <w:tab w:val="left" w:pos="6983"/>
        </w:tabs>
        <w:jc w:val="both"/>
        <w:rPr>
          <w:rFonts w:ascii="Arial" w:hAnsi="Arial" w:cs="Arial"/>
          <w:sz w:val="24"/>
          <w:szCs w:val="24"/>
          <w:lang w:val="es-CO"/>
        </w:rPr>
      </w:pPr>
    </w:p>
    <w:p w14:paraId="639F551A" w14:textId="58B5E816" w:rsidR="006668AA" w:rsidRPr="00442EE2" w:rsidRDefault="00442EE2" w:rsidP="00835722">
      <w:pPr>
        <w:tabs>
          <w:tab w:val="left" w:pos="6983"/>
        </w:tabs>
        <w:jc w:val="both"/>
        <w:rPr>
          <w:rFonts w:ascii="Arial" w:hAnsi="Arial" w:cs="Arial"/>
          <w:b/>
          <w:bCs/>
          <w:i/>
          <w:iCs/>
          <w:sz w:val="18"/>
          <w:szCs w:val="18"/>
          <w:lang w:val="es-CO"/>
        </w:rPr>
      </w:pPr>
      <w:r w:rsidRPr="00442EE2">
        <w:rPr>
          <w:rFonts w:ascii="Arial" w:hAnsi="Arial" w:cs="Arial"/>
          <w:b/>
          <w:bCs/>
          <w:i/>
          <w:iCs/>
          <w:sz w:val="18"/>
          <w:szCs w:val="18"/>
          <w:lang w:val="es-CO"/>
        </w:rPr>
        <w:t>GRÁFICO No. 5</w:t>
      </w:r>
    </w:p>
    <w:p w14:paraId="502D5961" w14:textId="0EDA99DE" w:rsidR="006668AA" w:rsidRDefault="006668AA" w:rsidP="006668AA">
      <w:pPr>
        <w:tabs>
          <w:tab w:val="left" w:pos="6983"/>
        </w:tabs>
        <w:spacing w:line="240" w:lineRule="auto"/>
        <w:jc w:val="both"/>
        <w:rPr>
          <w:rFonts w:ascii="Arial" w:hAnsi="Arial" w:cs="Arial"/>
          <w:sz w:val="24"/>
          <w:szCs w:val="24"/>
          <w:lang w:val="es-CO"/>
        </w:rPr>
      </w:pPr>
      <w:r w:rsidRPr="00547927">
        <w:rPr>
          <w:rFonts w:ascii="Arial" w:hAnsi="Arial" w:cs="Arial"/>
          <w:sz w:val="24"/>
          <w:szCs w:val="24"/>
          <w:lang w:val="es-CO"/>
        </w:rPr>
        <w:t>El rubro de servicios públicos presentó un aumento promedio</w:t>
      </w:r>
      <w:r w:rsidR="00D426A8">
        <w:rPr>
          <w:rFonts w:ascii="Arial" w:hAnsi="Arial" w:cs="Arial"/>
          <w:sz w:val="24"/>
          <w:szCs w:val="24"/>
          <w:lang w:val="es-CO"/>
        </w:rPr>
        <w:t xml:space="preserve"> en general</w:t>
      </w:r>
      <w:r w:rsidRPr="00547927">
        <w:rPr>
          <w:rFonts w:ascii="Arial" w:hAnsi="Arial" w:cs="Arial"/>
          <w:sz w:val="24"/>
          <w:szCs w:val="24"/>
          <w:lang w:val="es-CO"/>
        </w:rPr>
        <w:t xml:space="preserve"> de más del 50% en comparación con el periodo anterior. Esta situación obedece al aumento del personal en las instalaciones además del uso indebido de los equipos y falta de políticas de ahorro de energías, y como razón principal, en el año 2021 el funcionamiento de la entidad se normalizó con respecto a la forma que se venía funcionando en el 2020 por las medidas adoptadas por la pandemia.</w:t>
      </w:r>
    </w:p>
    <w:p w14:paraId="734D9D9B" w14:textId="4D82618B" w:rsidR="00D426A8" w:rsidRDefault="00D426A8" w:rsidP="006668AA">
      <w:pPr>
        <w:tabs>
          <w:tab w:val="left" w:pos="6983"/>
        </w:tabs>
        <w:spacing w:line="240" w:lineRule="auto"/>
        <w:jc w:val="both"/>
        <w:rPr>
          <w:rFonts w:ascii="Arial" w:hAnsi="Arial" w:cs="Arial"/>
          <w:sz w:val="24"/>
          <w:szCs w:val="24"/>
          <w:lang w:val="es-CO"/>
        </w:rPr>
      </w:pPr>
    </w:p>
    <w:p w14:paraId="1DE4F72D" w14:textId="4C7C8464" w:rsidR="00821D67" w:rsidRDefault="00821D67" w:rsidP="006668AA">
      <w:pPr>
        <w:tabs>
          <w:tab w:val="left" w:pos="6983"/>
        </w:tabs>
        <w:spacing w:line="240" w:lineRule="auto"/>
        <w:jc w:val="both"/>
        <w:rPr>
          <w:rFonts w:ascii="Arial" w:hAnsi="Arial" w:cs="Arial"/>
          <w:sz w:val="24"/>
          <w:szCs w:val="24"/>
          <w:lang w:val="es-CO"/>
        </w:rPr>
      </w:pPr>
    </w:p>
    <w:p w14:paraId="5FEFD614" w14:textId="0EF4B0BC" w:rsidR="00821D67" w:rsidRDefault="00821D67" w:rsidP="006668AA">
      <w:pPr>
        <w:tabs>
          <w:tab w:val="left" w:pos="6983"/>
        </w:tabs>
        <w:spacing w:line="240" w:lineRule="auto"/>
        <w:jc w:val="both"/>
        <w:rPr>
          <w:rFonts w:ascii="Arial" w:hAnsi="Arial" w:cs="Arial"/>
          <w:sz w:val="24"/>
          <w:szCs w:val="24"/>
          <w:lang w:val="es-CO"/>
        </w:rPr>
      </w:pPr>
    </w:p>
    <w:p w14:paraId="5C2CCC40" w14:textId="3DA496AE" w:rsidR="00821D67" w:rsidRDefault="00821D67" w:rsidP="006668AA">
      <w:pPr>
        <w:tabs>
          <w:tab w:val="left" w:pos="6983"/>
        </w:tabs>
        <w:spacing w:line="240" w:lineRule="auto"/>
        <w:jc w:val="both"/>
        <w:rPr>
          <w:rFonts w:ascii="Arial" w:hAnsi="Arial" w:cs="Arial"/>
          <w:sz w:val="24"/>
          <w:szCs w:val="24"/>
          <w:lang w:val="es-CO"/>
        </w:rPr>
      </w:pPr>
    </w:p>
    <w:p w14:paraId="6E356C79" w14:textId="128F40F1" w:rsidR="00821D67" w:rsidRDefault="00821D67" w:rsidP="006668AA">
      <w:pPr>
        <w:tabs>
          <w:tab w:val="left" w:pos="6983"/>
        </w:tabs>
        <w:spacing w:line="240" w:lineRule="auto"/>
        <w:jc w:val="both"/>
        <w:rPr>
          <w:rFonts w:ascii="Arial" w:hAnsi="Arial" w:cs="Arial"/>
          <w:sz w:val="24"/>
          <w:szCs w:val="24"/>
          <w:lang w:val="es-CO"/>
        </w:rPr>
      </w:pPr>
    </w:p>
    <w:p w14:paraId="1CBB0F15" w14:textId="4F3E4E94" w:rsidR="00821D67" w:rsidRDefault="00821D67" w:rsidP="006668AA">
      <w:pPr>
        <w:tabs>
          <w:tab w:val="left" w:pos="6983"/>
        </w:tabs>
        <w:spacing w:line="240" w:lineRule="auto"/>
        <w:jc w:val="both"/>
        <w:rPr>
          <w:rFonts w:ascii="Arial" w:hAnsi="Arial" w:cs="Arial"/>
          <w:sz w:val="24"/>
          <w:szCs w:val="24"/>
          <w:lang w:val="es-CO"/>
        </w:rPr>
      </w:pPr>
    </w:p>
    <w:p w14:paraId="24595537" w14:textId="1226E378" w:rsidR="00821D67" w:rsidRDefault="00821D67" w:rsidP="006668AA">
      <w:pPr>
        <w:tabs>
          <w:tab w:val="left" w:pos="6983"/>
        </w:tabs>
        <w:spacing w:line="240" w:lineRule="auto"/>
        <w:jc w:val="both"/>
        <w:rPr>
          <w:rFonts w:ascii="Arial" w:hAnsi="Arial" w:cs="Arial"/>
          <w:sz w:val="24"/>
          <w:szCs w:val="24"/>
          <w:lang w:val="es-CO"/>
        </w:rPr>
      </w:pPr>
    </w:p>
    <w:p w14:paraId="78F126D1" w14:textId="566B10EB" w:rsidR="00821D67" w:rsidRDefault="00821D67" w:rsidP="006668AA">
      <w:pPr>
        <w:tabs>
          <w:tab w:val="left" w:pos="6983"/>
        </w:tabs>
        <w:spacing w:line="240" w:lineRule="auto"/>
        <w:jc w:val="both"/>
        <w:rPr>
          <w:rFonts w:ascii="Arial" w:hAnsi="Arial" w:cs="Arial"/>
          <w:sz w:val="24"/>
          <w:szCs w:val="24"/>
          <w:lang w:val="es-CO"/>
        </w:rPr>
      </w:pPr>
    </w:p>
    <w:p w14:paraId="37028162" w14:textId="19234E35" w:rsidR="00D426A8" w:rsidRPr="00D426A8" w:rsidRDefault="00D426A8" w:rsidP="00D426A8">
      <w:pPr>
        <w:pStyle w:val="Prrafodelista"/>
        <w:tabs>
          <w:tab w:val="left" w:pos="6983"/>
        </w:tabs>
        <w:spacing w:line="240" w:lineRule="auto"/>
        <w:jc w:val="center"/>
        <w:rPr>
          <w:rFonts w:ascii="Arial" w:hAnsi="Arial" w:cs="Arial"/>
          <w:b/>
          <w:bCs/>
          <w:sz w:val="28"/>
          <w:szCs w:val="28"/>
          <w:lang w:val="es-CO"/>
        </w:rPr>
      </w:pPr>
      <w:r>
        <w:rPr>
          <w:rFonts w:ascii="Arial" w:hAnsi="Arial" w:cs="Arial"/>
          <w:b/>
          <w:bCs/>
          <w:sz w:val="28"/>
          <w:szCs w:val="28"/>
          <w:lang w:val="es-CO"/>
        </w:rPr>
        <w:t>10.</w:t>
      </w:r>
      <w:bookmarkStart w:id="7" w:name="_Hlk101772133"/>
      <w:r>
        <w:rPr>
          <w:rFonts w:ascii="Arial" w:hAnsi="Arial" w:cs="Arial"/>
          <w:b/>
          <w:bCs/>
          <w:sz w:val="28"/>
          <w:szCs w:val="28"/>
          <w:lang w:val="es-CO"/>
        </w:rPr>
        <w:t>C</w:t>
      </w:r>
      <w:r w:rsidRPr="00D426A8">
        <w:rPr>
          <w:rFonts w:ascii="Arial" w:hAnsi="Arial" w:cs="Arial"/>
          <w:b/>
          <w:bCs/>
          <w:sz w:val="28"/>
          <w:szCs w:val="28"/>
          <w:lang w:val="es-CO"/>
        </w:rPr>
        <w:t>ONCLUSIÓN</w:t>
      </w:r>
    </w:p>
    <w:p w14:paraId="762A4FBC" w14:textId="77777777" w:rsidR="00D426A8" w:rsidRPr="00547927" w:rsidRDefault="00D426A8" w:rsidP="00D426A8">
      <w:pPr>
        <w:tabs>
          <w:tab w:val="left" w:pos="6983"/>
        </w:tabs>
        <w:spacing w:line="240" w:lineRule="auto"/>
        <w:jc w:val="center"/>
        <w:rPr>
          <w:rFonts w:ascii="Arial" w:hAnsi="Arial" w:cs="Arial"/>
          <w:b/>
          <w:bCs/>
          <w:sz w:val="28"/>
          <w:szCs w:val="28"/>
          <w:lang w:val="es-CO"/>
        </w:rPr>
      </w:pPr>
    </w:p>
    <w:p w14:paraId="5041E44B" w14:textId="1757F52E" w:rsidR="00D426A8" w:rsidRPr="00F8477F" w:rsidRDefault="00D426A8" w:rsidP="00D426A8">
      <w:pPr>
        <w:tabs>
          <w:tab w:val="left" w:pos="6983"/>
        </w:tabs>
        <w:spacing w:line="240" w:lineRule="auto"/>
        <w:jc w:val="both"/>
        <w:rPr>
          <w:rFonts w:ascii="Arial" w:hAnsi="Arial" w:cs="Arial"/>
          <w:sz w:val="24"/>
          <w:szCs w:val="24"/>
          <w:lang w:val="es-CO"/>
        </w:rPr>
      </w:pPr>
      <w:r w:rsidRPr="00547927">
        <w:rPr>
          <w:rFonts w:ascii="Arial" w:hAnsi="Arial" w:cs="Arial"/>
          <w:sz w:val="24"/>
          <w:szCs w:val="24"/>
          <w:lang w:val="es-CO"/>
        </w:rPr>
        <w:t xml:space="preserve"> A continuación, se presenta una síntesis por componente del gasto, resultado del análisis efectuado por la Oficina de Control Interno, en cumplimiento con lo previsto en la normatividad relacionada con las Medidas de Austeridad del Gasto establecidos en el Decreto 1068 de 2015, para el periodo de </w:t>
      </w:r>
      <w:r>
        <w:rPr>
          <w:rFonts w:ascii="Arial" w:hAnsi="Arial" w:cs="Arial"/>
          <w:sz w:val="24"/>
          <w:szCs w:val="24"/>
          <w:lang w:val="es-CO"/>
        </w:rPr>
        <w:t>julio a septiembre</w:t>
      </w:r>
      <w:r w:rsidRPr="00547927">
        <w:rPr>
          <w:rFonts w:ascii="Arial" w:hAnsi="Arial" w:cs="Arial"/>
          <w:sz w:val="24"/>
          <w:szCs w:val="24"/>
          <w:lang w:val="es-CO"/>
        </w:rPr>
        <w:t xml:space="preserve"> 2021, se pudo evidenciar que El Establecimiento Público Ambiental Distrital “EPA Buenaventura” realizó pagos por conceptos de: Nómina, Contratos por Prestación de Servicios y Honorarios, Control vigilancia y seguimiento. Ambiental, Comunicación educación e investigación, Fortalecimiento Institucional, Gastos Generales, Servicios Públicos (Energía, Telefonía fija y larga distancia, Telefonía celular, Internet banda ancha), revisoría fiscal Seguridad Social, Bonificación por Recreación, Prima de Vacaciones y otras adquisiciones de bienes y servicios.</w:t>
      </w:r>
      <w:r w:rsidRPr="00F8477F">
        <w:rPr>
          <w:rFonts w:ascii="Arial" w:hAnsi="Arial" w:cs="Arial"/>
          <w:sz w:val="24"/>
          <w:szCs w:val="24"/>
          <w:lang w:val="es-CO"/>
        </w:rPr>
        <w:br/>
      </w:r>
    </w:p>
    <w:p w14:paraId="4E4BFB18" w14:textId="77777777" w:rsidR="00D426A8" w:rsidRPr="00547927" w:rsidRDefault="00D426A8" w:rsidP="006668AA">
      <w:pPr>
        <w:tabs>
          <w:tab w:val="left" w:pos="6983"/>
        </w:tabs>
        <w:spacing w:line="240" w:lineRule="auto"/>
        <w:jc w:val="both"/>
        <w:rPr>
          <w:rFonts w:ascii="Arial" w:hAnsi="Arial" w:cs="Arial"/>
          <w:sz w:val="24"/>
          <w:szCs w:val="24"/>
          <w:lang w:val="es-CO"/>
        </w:rPr>
      </w:pPr>
    </w:p>
    <w:p w14:paraId="331F6E26" w14:textId="77777777" w:rsidR="006668AA" w:rsidRPr="00835722" w:rsidRDefault="006668AA" w:rsidP="00835722">
      <w:pPr>
        <w:tabs>
          <w:tab w:val="left" w:pos="6983"/>
        </w:tabs>
        <w:jc w:val="both"/>
        <w:rPr>
          <w:rFonts w:ascii="Arial" w:hAnsi="Arial" w:cs="Arial"/>
          <w:sz w:val="24"/>
          <w:szCs w:val="24"/>
          <w:lang w:val="es-CO"/>
        </w:rPr>
      </w:pPr>
    </w:p>
    <w:p w14:paraId="1FE9A28C" w14:textId="77777777" w:rsidR="002907C7" w:rsidRPr="00835722" w:rsidRDefault="002907C7" w:rsidP="00835722">
      <w:pPr>
        <w:tabs>
          <w:tab w:val="left" w:pos="6983"/>
        </w:tabs>
        <w:jc w:val="both"/>
        <w:rPr>
          <w:rFonts w:ascii="Arial" w:hAnsi="Arial" w:cs="Arial"/>
          <w:sz w:val="24"/>
          <w:szCs w:val="24"/>
          <w:lang w:val="es-CO"/>
        </w:rPr>
      </w:pPr>
    </w:p>
    <w:p w14:paraId="6C28816A" w14:textId="68F9AFD3" w:rsidR="006E5480" w:rsidRPr="00835722" w:rsidRDefault="006E5480" w:rsidP="00835722">
      <w:pPr>
        <w:tabs>
          <w:tab w:val="left" w:pos="6983"/>
        </w:tabs>
        <w:jc w:val="both"/>
        <w:rPr>
          <w:rFonts w:ascii="Arial" w:hAnsi="Arial" w:cs="Arial"/>
          <w:sz w:val="24"/>
          <w:szCs w:val="24"/>
          <w:lang w:val="es-CO"/>
        </w:rPr>
      </w:pPr>
    </w:p>
    <w:p w14:paraId="4DDB1648" w14:textId="77777777" w:rsidR="006E5480" w:rsidRPr="00835722" w:rsidRDefault="006E5480" w:rsidP="00835722">
      <w:pPr>
        <w:tabs>
          <w:tab w:val="left" w:pos="6983"/>
        </w:tabs>
        <w:jc w:val="both"/>
        <w:rPr>
          <w:rFonts w:ascii="Arial" w:hAnsi="Arial" w:cs="Arial"/>
          <w:sz w:val="24"/>
          <w:szCs w:val="24"/>
          <w:lang w:val="es-CO"/>
        </w:rPr>
      </w:pPr>
    </w:p>
    <w:bookmarkEnd w:id="7"/>
    <w:p w14:paraId="026EFA6E" w14:textId="768A0508" w:rsidR="003557A8" w:rsidRPr="00835722" w:rsidRDefault="003557A8" w:rsidP="00835722">
      <w:pPr>
        <w:tabs>
          <w:tab w:val="left" w:pos="6983"/>
        </w:tabs>
        <w:jc w:val="both"/>
        <w:rPr>
          <w:rFonts w:ascii="Arial" w:hAnsi="Arial" w:cs="Arial"/>
          <w:sz w:val="24"/>
          <w:szCs w:val="24"/>
          <w:lang w:val="es-CO"/>
        </w:rPr>
      </w:pPr>
    </w:p>
    <w:p w14:paraId="27EFF128" w14:textId="77777777" w:rsidR="003557A8" w:rsidRPr="00835722" w:rsidRDefault="003557A8" w:rsidP="00835722">
      <w:pPr>
        <w:tabs>
          <w:tab w:val="left" w:pos="6983"/>
        </w:tabs>
        <w:jc w:val="both"/>
        <w:rPr>
          <w:rFonts w:ascii="Arial" w:hAnsi="Arial" w:cs="Arial"/>
          <w:sz w:val="24"/>
          <w:szCs w:val="24"/>
          <w:lang w:val="es-CO"/>
        </w:rPr>
      </w:pPr>
    </w:p>
    <w:p w14:paraId="369A2078" w14:textId="77777777" w:rsidR="00E5477D" w:rsidRPr="00835722" w:rsidRDefault="00E5477D" w:rsidP="00835722">
      <w:pPr>
        <w:tabs>
          <w:tab w:val="left" w:pos="6983"/>
        </w:tabs>
        <w:jc w:val="both"/>
        <w:rPr>
          <w:rFonts w:ascii="Arial" w:hAnsi="Arial" w:cs="Arial"/>
          <w:sz w:val="24"/>
          <w:szCs w:val="24"/>
          <w:lang w:val="es-CO"/>
        </w:rPr>
      </w:pPr>
    </w:p>
    <w:p w14:paraId="12E1D4E9" w14:textId="083D66B7" w:rsidR="00275632" w:rsidRPr="00835722" w:rsidRDefault="00220BC1" w:rsidP="00835722">
      <w:pPr>
        <w:tabs>
          <w:tab w:val="left" w:pos="6983"/>
        </w:tabs>
        <w:jc w:val="both"/>
        <w:rPr>
          <w:rFonts w:ascii="Arial" w:hAnsi="Arial" w:cs="Arial"/>
          <w:sz w:val="24"/>
          <w:szCs w:val="24"/>
          <w:lang w:val="es-CO"/>
        </w:rPr>
      </w:pPr>
      <w:r w:rsidRPr="00835722">
        <w:rPr>
          <w:rFonts w:ascii="Arial" w:hAnsi="Arial" w:cs="Arial"/>
          <w:sz w:val="24"/>
          <w:szCs w:val="24"/>
          <w:lang w:val="es-CO"/>
        </w:rPr>
        <w:br/>
      </w:r>
    </w:p>
    <w:p w14:paraId="3ACA3545" w14:textId="7A6A7BB8" w:rsidR="00220BC1" w:rsidRPr="00835722" w:rsidRDefault="00220BC1" w:rsidP="00835722">
      <w:pPr>
        <w:tabs>
          <w:tab w:val="left" w:pos="6983"/>
        </w:tabs>
        <w:jc w:val="both"/>
        <w:rPr>
          <w:rFonts w:ascii="Arial" w:hAnsi="Arial" w:cs="Arial"/>
          <w:sz w:val="24"/>
          <w:szCs w:val="24"/>
          <w:lang w:val="es-CO"/>
        </w:rPr>
      </w:pPr>
    </w:p>
    <w:p w14:paraId="19538F12" w14:textId="384B9A37" w:rsidR="00442EE2" w:rsidRDefault="00821D67" w:rsidP="00835722">
      <w:pPr>
        <w:jc w:val="both"/>
        <w:rPr>
          <w:rFonts w:ascii="Arial" w:hAnsi="Arial" w:cs="Arial"/>
          <w:sz w:val="24"/>
          <w:szCs w:val="24"/>
          <w:lang w:val="es-CO"/>
        </w:rPr>
      </w:pPr>
      <w:r w:rsidRPr="00821D67">
        <w:rPr>
          <w:noProof/>
        </w:rPr>
        <w:lastRenderedPageBreak/>
        <w:drawing>
          <wp:inline distT="0" distB="0" distL="0" distR="0" wp14:anchorId="47681429" wp14:editId="77495397">
            <wp:extent cx="5612130" cy="7638415"/>
            <wp:effectExtent l="0" t="0" r="762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7638415"/>
                    </a:xfrm>
                    <a:prstGeom prst="rect">
                      <a:avLst/>
                    </a:prstGeom>
                  </pic:spPr>
                </pic:pic>
              </a:graphicData>
            </a:graphic>
          </wp:inline>
        </w:drawing>
      </w:r>
    </w:p>
    <w:p w14:paraId="12227D52" w14:textId="77777777" w:rsidR="00442EE2" w:rsidRDefault="00442EE2" w:rsidP="00442EE2">
      <w:pPr>
        <w:pStyle w:val="Prrafodelista"/>
        <w:tabs>
          <w:tab w:val="left" w:pos="6983"/>
        </w:tabs>
        <w:jc w:val="center"/>
        <w:rPr>
          <w:rFonts w:ascii="Arial" w:hAnsi="Arial" w:cs="Arial"/>
          <w:b/>
          <w:bCs/>
          <w:sz w:val="24"/>
          <w:szCs w:val="24"/>
          <w:lang w:val="es-CO"/>
        </w:rPr>
      </w:pPr>
      <w:r w:rsidRPr="00044D3A">
        <w:rPr>
          <w:rFonts w:ascii="Arial" w:hAnsi="Arial" w:cs="Arial"/>
          <w:b/>
          <w:bCs/>
          <w:sz w:val="24"/>
          <w:szCs w:val="24"/>
          <w:lang w:val="es-CO"/>
        </w:rPr>
        <w:lastRenderedPageBreak/>
        <w:t>RECOMENDACIONES</w:t>
      </w:r>
    </w:p>
    <w:p w14:paraId="502E63CB" w14:textId="77777777" w:rsidR="00442EE2" w:rsidRDefault="00442EE2" w:rsidP="00442EE2">
      <w:pPr>
        <w:pStyle w:val="Prrafodelista"/>
        <w:tabs>
          <w:tab w:val="left" w:pos="6983"/>
        </w:tabs>
        <w:jc w:val="center"/>
        <w:rPr>
          <w:rFonts w:ascii="Arial" w:hAnsi="Arial" w:cs="Arial"/>
          <w:b/>
          <w:bCs/>
          <w:sz w:val="24"/>
          <w:szCs w:val="24"/>
          <w:lang w:val="es-CO"/>
        </w:rPr>
      </w:pPr>
    </w:p>
    <w:p w14:paraId="1EB734A5" w14:textId="77777777" w:rsidR="00442EE2" w:rsidRPr="00044D3A" w:rsidRDefault="00442EE2" w:rsidP="00442EE2">
      <w:pPr>
        <w:pStyle w:val="Prrafodelista"/>
        <w:tabs>
          <w:tab w:val="left" w:pos="6983"/>
        </w:tabs>
        <w:jc w:val="center"/>
        <w:rPr>
          <w:rFonts w:ascii="Arial" w:hAnsi="Arial" w:cs="Arial"/>
          <w:b/>
          <w:bCs/>
          <w:sz w:val="24"/>
          <w:szCs w:val="24"/>
          <w:lang w:val="es-CO"/>
        </w:rPr>
      </w:pPr>
    </w:p>
    <w:p w14:paraId="756B65DF" w14:textId="77777777" w:rsidR="00442EE2"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Se recomienda al área financiera realizar oportunamente los registros de causación de gastos, con el fin de no alterar la frecuencia de la información y pueda ser esta realmente comparativa. </w:t>
      </w:r>
    </w:p>
    <w:p w14:paraId="3430043D" w14:textId="77777777" w:rsidR="00442EE2" w:rsidRPr="00044D3A"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 Dar continuidad y fortalecimiento a los controles implementados de manera autónoma encaminados a la reducción de los gastos generales, buscando cada vez más la economía y austeridad en los gastos. </w:t>
      </w:r>
    </w:p>
    <w:p w14:paraId="311F651D" w14:textId="77777777" w:rsidR="00442EE2" w:rsidRPr="00044D3A"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Utilizar papel reciclado para las fotocopias e impresión de uso interno, realizar las impresiones a doble cara, utilizando la opción de propiedades de ahorro de tinta. </w:t>
      </w:r>
    </w:p>
    <w:p w14:paraId="1C76D1EB" w14:textId="77777777" w:rsidR="00442EE2"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 Se recomienda liderar y promover a todo nivel campaña sobre uso y manejo adecuado de los equipos, uso racional de energía e iniciar con el establecimiento de una cultura del ahorro acompañado con la implementación de las políticas de austeridad. </w:t>
      </w:r>
    </w:p>
    <w:p w14:paraId="155FE9AF" w14:textId="77777777" w:rsidR="00442EE2" w:rsidRPr="00044D3A"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 Las diferentes áreas que componen el Establecimiento Publico Ambiental deben realizar un seguimiento y análisis mensual a los consumos y gastos que estas generan, informando a la Dirección principalmente las variaciones que se presenten con sus respectivas justificaciones. A lo anterior se debe sumar la eficiencia que debe tener el personal a cargo de cada una de las áreas y de esa forma ahorrar recursos de Gastos de Personal. </w:t>
      </w:r>
    </w:p>
    <w:p w14:paraId="0A13834C" w14:textId="77777777" w:rsidR="00075FD6"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 Continuar implementando medidas y controles que permitan optimizar el consumo por gastos generales en consideración con lo previsto en el marco normativo de austeridad, específicamente, en aquellos en los que, como resultado del análisis presentado en este informe, se evidenció que presentaron variación positiva significativa.</w:t>
      </w:r>
    </w:p>
    <w:p w14:paraId="13FB76E6" w14:textId="77777777" w:rsidR="00075FD6" w:rsidRDefault="00075FD6" w:rsidP="00075FD6">
      <w:pPr>
        <w:pStyle w:val="Prrafodelista"/>
        <w:tabs>
          <w:tab w:val="left" w:pos="6983"/>
        </w:tabs>
        <w:ind w:left="780"/>
        <w:jc w:val="both"/>
        <w:rPr>
          <w:rFonts w:ascii="Arial" w:hAnsi="Arial" w:cs="Arial"/>
          <w:sz w:val="24"/>
          <w:szCs w:val="24"/>
          <w:lang w:val="es-CO"/>
        </w:rPr>
      </w:pPr>
    </w:p>
    <w:p w14:paraId="5FFFFCF6" w14:textId="77777777" w:rsidR="00075FD6" w:rsidRDefault="00075FD6" w:rsidP="00075FD6">
      <w:pPr>
        <w:pStyle w:val="Prrafodelista"/>
        <w:tabs>
          <w:tab w:val="left" w:pos="6983"/>
        </w:tabs>
        <w:ind w:left="780"/>
        <w:jc w:val="both"/>
        <w:rPr>
          <w:rFonts w:ascii="Arial" w:hAnsi="Arial" w:cs="Arial"/>
          <w:sz w:val="24"/>
          <w:szCs w:val="24"/>
          <w:lang w:val="es-CO"/>
        </w:rPr>
      </w:pPr>
    </w:p>
    <w:p w14:paraId="3DECBEB6" w14:textId="77777777" w:rsidR="00075FD6" w:rsidRDefault="00075FD6" w:rsidP="00075FD6">
      <w:pPr>
        <w:pStyle w:val="Prrafodelista"/>
        <w:tabs>
          <w:tab w:val="left" w:pos="6983"/>
        </w:tabs>
        <w:ind w:left="780"/>
        <w:jc w:val="both"/>
        <w:rPr>
          <w:rFonts w:ascii="Arial" w:hAnsi="Arial" w:cs="Arial"/>
          <w:sz w:val="24"/>
          <w:szCs w:val="24"/>
          <w:lang w:val="es-CO"/>
        </w:rPr>
      </w:pPr>
    </w:p>
    <w:p w14:paraId="1B9492BA" w14:textId="7A98406E" w:rsidR="00442EE2" w:rsidRPr="00044D3A" w:rsidRDefault="00442EE2" w:rsidP="00075FD6">
      <w:pPr>
        <w:pStyle w:val="Prrafodelista"/>
        <w:tabs>
          <w:tab w:val="left" w:pos="6983"/>
        </w:tabs>
        <w:ind w:left="780"/>
        <w:jc w:val="both"/>
        <w:rPr>
          <w:rFonts w:ascii="Arial" w:hAnsi="Arial" w:cs="Arial"/>
          <w:sz w:val="24"/>
          <w:szCs w:val="24"/>
          <w:lang w:val="es-CO"/>
        </w:rPr>
      </w:pPr>
      <w:r w:rsidRPr="00044D3A">
        <w:rPr>
          <w:rFonts w:ascii="Arial" w:hAnsi="Arial" w:cs="Arial"/>
          <w:sz w:val="24"/>
          <w:szCs w:val="24"/>
          <w:lang w:val="es-CO"/>
        </w:rPr>
        <w:t xml:space="preserve"> </w:t>
      </w:r>
    </w:p>
    <w:p w14:paraId="16523C02" w14:textId="77777777" w:rsidR="00075FD6" w:rsidRDefault="00075FD6" w:rsidP="00401113">
      <w:pPr>
        <w:pStyle w:val="Prrafodelista"/>
        <w:tabs>
          <w:tab w:val="left" w:pos="6983"/>
        </w:tabs>
        <w:ind w:left="780"/>
        <w:jc w:val="both"/>
        <w:rPr>
          <w:rFonts w:ascii="Arial" w:hAnsi="Arial" w:cs="Arial"/>
          <w:sz w:val="24"/>
          <w:szCs w:val="24"/>
          <w:lang w:val="es-CO"/>
        </w:rPr>
      </w:pPr>
    </w:p>
    <w:p w14:paraId="5D37BDBC" w14:textId="77777777" w:rsidR="00075FD6" w:rsidRDefault="00075FD6" w:rsidP="00075FD6">
      <w:pPr>
        <w:pStyle w:val="Prrafodelista"/>
        <w:tabs>
          <w:tab w:val="left" w:pos="6983"/>
        </w:tabs>
        <w:ind w:left="780"/>
        <w:jc w:val="both"/>
        <w:rPr>
          <w:rFonts w:ascii="Arial" w:hAnsi="Arial" w:cs="Arial"/>
          <w:sz w:val="24"/>
          <w:szCs w:val="24"/>
          <w:lang w:val="es-CO"/>
        </w:rPr>
      </w:pPr>
    </w:p>
    <w:p w14:paraId="2DCDAD3B" w14:textId="6BD4C934" w:rsidR="00442EE2" w:rsidRPr="00044D3A" w:rsidRDefault="00442EE2" w:rsidP="00442EE2">
      <w:pPr>
        <w:pStyle w:val="Prrafodelista"/>
        <w:numPr>
          <w:ilvl w:val="0"/>
          <w:numId w:val="5"/>
        </w:numPr>
        <w:tabs>
          <w:tab w:val="left" w:pos="6983"/>
        </w:tabs>
        <w:jc w:val="both"/>
        <w:rPr>
          <w:rFonts w:ascii="Arial" w:hAnsi="Arial" w:cs="Arial"/>
          <w:sz w:val="24"/>
          <w:szCs w:val="24"/>
          <w:lang w:val="es-CO"/>
        </w:rPr>
      </w:pPr>
      <w:r w:rsidRPr="00044D3A">
        <w:rPr>
          <w:rFonts w:ascii="Arial" w:hAnsi="Arial" w:cs="Arial"/>
          <w:sz w:val="24"/>
          <w:szCs w:val="24"/>
          <w:lang w:val="es-CO"/>
        </w:rPr>
        <w:t xml:space="preserve"> Seguir cumplimiento con las disposiciones del Plan de Austerid</w:t>
      </w:r>
      <w:r>
        <w:rPr>
          <w:rFonts w:ascii="Arial" w:hAnsi="Arial" w:cs="Arial"/>
          <w:sz w:val="24"/>
          <w:szCs w:val="24"/>
          <w:lang w:val="es-CO"/>
        </w:rPr>
        <w:t>ad del Gasto, establecidas y demás normatividad sobre la materia.</w:t>
      </w:r>
    </w:p>
    <w:p w14:paraId="467B8B19" w14:textId="77777777" w:rsidR="00442EE2" w:rsidRDefault="00442EE2" w:rsidP="00442EE2">
      <w:pPr>
        <w:tabs>
          <w:tab w:val="left" w:pos="6983"/>
        </w:tabs>
        <w:jc w:val="both"/>
        <w:rPr>
          <w:rFonts w:ascii="Arial" w:hAnsi="Arial" w:cs="Arial"/>
          <w:sz w:val="24"/>
          <w:szCs w:val="24"/>
          <w:lang w:val="es-CO"/>
        </w:rPr>
      </w:pPr>
    </w:p>
    <w:p w14:paraId="272A58A2" w14:textId="77777777" w:rsidR="00442EE2" w:rsidRDefault="00442EE2" w:rsidP="00442EE2">
      <w:pPr>
        <w:tabs>
          <w:tab w:val="left" w:pos="6983"/>
        </w:tabs>
        <w:jc w:val="center"/>
        <w:rPr>
          <w:rFonts w:ascii="Arial" w:hAnsi="Arial" w:cs="Arial"/>
          <w:sz w:val="24"/>
          <w:szCs w:val="24"/>
          <w:lang w:val="es-CO"/>
        </w:rPr>
      </w:pPr>
      <w:r>
        <w:rPr>
          <w:rFonts w:ascii="Arial" w:hAnsi="Arial" w:cs="Arial"/>
          <w:sz w:val="24"/>
          <w:szCs w:val="24"/>
          <w:lang w:val="es-CO"/>
        </w:rPr>
        <w:t>Original firmado</w:t>
      </w:r>
    </w:p>
    <w:p w14:paraId="1E971133" w14:textId="77777777" w:rsidR="00442EE2" w:rsidRDefault="00442EE2" w:rsidP="00442EE2">
      <w:pPr>
        <w:tabs>
          <w:tab w:val="left" w:pos="6983"/>
        </w:tabs>
        <w:jc w:val="center"/>
        <w:rPr>
          <w:rFonts w:ascii="Arial" w:hAnsi="Arial" w:cs="Arial"/>
          <w:b/>
          <w:bCs/>
          <w:sz w:val="24"/>
          <w:szCs w:val="24"/>
          <w:lang w:val="es-CO"/>
        </w:rPr>
      </w:pPr>
      <w:r>
        <w:rPr>
          <w:rFonts w:ascii="Arial" w:hAnsi="Arial" w:cs="Arial"/>
          <w:b/>
          <w:bCs/>
          <w:sz w:val="24"/>
          <w:szCs w:val="24"/>
          <w:lang w:val="es-CO"/>
        </w:rPr>
        <w:t>JHON FREDDY VILLEGAS GARCÉS</w:t>
      </w:r>
    </w:p>
    <w:p w14:paraId="247B9CE8" w14:textId="77777777" w:rsidR="00442EE2" w:rsidRPr="00044D3A" w:rsidRDefault="00442EE2" w:rsidP="00442EE2">
      <w:pPr>
        <w:tabs>
          <w:tab w:val="left" w:pos="6983"/>
        </w:tabs>
        <w:jc w:val="center"/>
        <w:rPr>
          <w:rFonts w:ascii="Arial" w:hAnsi="Arial" w:cs="Arial"/>
          <w:b/>
          <w:bCs/>
          <w:sz w:val="24"/>
          <w:szCs w:val="24"/>
          <w:lang w:val="es-CO"/>
        </w:rPr>
      </w:pPr>
      <w:r>
        <w:rPr>
          <w:rFonts w:ascii="Arial" w:hAnsi="Arial" w:cs="Arial"/>
          <w:b/>
          <w:bCs/>
          <w:sz w:val="24"/>
          <w:szCs w:val="24"/>
          <w:lang w:val="es-CO"/>
        </w:rPr>
        <w:t>Jefe de control interno</w:t>
      </w:r>
    </w:p>
    <w:p w14:paraId="353F3FC8" w14:textId="77777777" w:rsidR="00442EE2" w:rsidRPr="00044D3A" w:rsidRDefault="00442EE2" w:rsidP="00442EE2">
      <w:pPr>
        <w:tabs>
          <w:tab w:val="left" w:pos="6983"/>
        </w:tabs>
        <w:jc w:val="both"/>
        <w:rPr>
          <w:rFonts w:ascii="Arial" w:hAnsi="Arial" w:cs="Arial"/>
          <w:sz w:val="24"/>
          <w:szCs w:val="24"/>
          <w:lang w:val="es-CO"/>
        </w:rPr>
      </w:pPr>
    </w:p>
    <w:p w14:paraId="6834C7D6" w14:textId="77777777" w:rsidR="00442EE2" w:rsidRPr="00835722" w:rsidRDefault="00442EE2" w:rsidP="00835722">
      <w:pPr>
        <w:jc w:val="both"/>
        <w:rPr>
          <w:rFonts w:ascii="Arial" w:hAnsi="Arial" w:cs="Arial"/>
          <w:sz w:val="24"/>
          <w:szCs w:val="24"/>
          <w:lang w:val="es-CO"/>
        </w:rPr>
      </w:pPr>
    </w:p>
    <w:sectPr w:rsidR="00442EE2" w:rsidRPr="00835722">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44F9" w14:textId="77777777" w:rsidR="00446695" w:rsidRDefault="00446695" w:rsidP="00446695">
      <w:pPr>
        <w:spacing w:after="0" w:line="240" w:lineRule="auto"/>
      </w:pPr>
      <w:r>
        <w:separator/>
      </w:r>
    </w:p>
  </w:endnote>
  <w:endnote w:type="continuationSeparator" w:id="0">
    <w:p w14:paraId="308A1415" w14:textId="77777777" w:rsidR="00446695" w:rsidRDefault="00446695" w:rsidP="0044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E7E6" w14:textId="10DC4F7F" w:rsidR="00446695" w:rsidRDefault="00446695">
    <w:pPr>
      <w:pStyle w:val="Piedepgina"/>
    </w:pPr>
  </w:p>
  <w:p w14:paraId="1DAEEB04" w14:textId="6EE26C8D" w:rsidR="00446695" w:rsidRDefault="00075FD6">
    <w:pPr>
      <w:pStyle w:val="Piedepgina"/>
    </w:pPr>
    <w:r>
      <w:rPr>
        <w:noProof/>
      </w:rPr>
      <w:drawing>
        <wp:anchor distT="0" distB="0" distL="114300" distR="114300" simplePos="0" relativeHeight="251661312" behindDoc="0" locked="0" layoutInCell="1" allowOverlap="0" wp14:anchorId="5C75DEC7" wp14:editId="4ED89352">
          <wp:simplePos x="0" y="0"/>
          <wp:positionH relativeFrom="page">
            <wp:posOffset>619125</wp:posOffset>
          </wp:positionH>
          <wp:positionV relativeFrom="bottomMargin">
            <wp:posOffset>33020</wp:posOffset>
          </wp:positionV>
          <wp:extent cx="6705600" cy="762000"/>
          <wp:effectExtent l="0" t="0" r="0" b="0"/>
          <wp:wrapSquare wrapText="bothSides"/>
          <wp:docPr id="23"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
                  <a:stretch>
                    <a:fillRect/>
                  </a:stretch>
                </pic:blipFill>
                <pic:spPr>
                  <a:xfrm>
                    <a:off x="0" y="0"/>
                    <a:ext cx="6705600" cy="76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FC76" w14:textId="77777777" w:rsidR="00446695" w:rsidRDefault="00446695" w:rsidP="00446695">
      <w:pPr>
        <w:spacing w:after="0" w:line="240" w:lineRule="auto"/>
      </w:pPr>
      <w:r>
        <w:separator/>
      </w:r>
    </w:p>
  </w:footnote>
  <w:footnote w:type="continuationSeparator" w:id="0">
    <w:p w14:paraId="2F4F0C3E" w14:textId="77777777" w:rsidR="00446695" w:rsidRDefault="00446695" w:rsidP="00446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104" w:tblpY="343"/>
      <w:tblOverlap w:val="never"/>
      <w:tblW w:w="10034" w:type="dxa"/>
      <w:tblInd w:w="0" w:type="dxa"/>
      <w:tblCellMar>
        <w:top w:w="17" w:type="dxa"/>
        <w:left w:w="107" w:type="dxa"/>
        <w:bottom w:w="19" w:type="dxa"/>
        <w:right w:w="115" w:type="dxa"/>
      </w:tblCellMar>
      <w:tblLook w:val="04A0" w:firstRow="1" w:lastRow="0" w:firstColumn="1" w:lastColumn="0" w:noHBand="0" w:noVBand="1"/>
    </w:tblPr>
    <w:tblGrid>
      <w:gridCol w:w="1396"/>
      <w:gridCol w:w="3502"/>
      <w:gridCol w:w="3583"/>
      <w:gridCol w:w="1553"/>
    </w:tblGrid>
    <w:tr w:rsidR="00446695" w14:paraId="20975D49" w14:textId="77777777" w:rsidTr="008C5A16">
      <w:trPr>
        <w:trHeight w:val="867"/>
      </w:trPr>
      <w:tc>
        <w:tcPr>
          <w:tcW w:w="1396" w:type="dxa"/>
          <w:vMerge w:val="restart"/>
          <w:tcBorders>
            <w:top w:val="double" w:sz="4" w:space="0" w:color="70AD47"/>
            <w:left w:val="double" w:sz="4" w:space="0" w:color="70AD47"/>
            <w:bottom w:val="double" w:sz="4" w:space="0" w:color="70AD47"/>
            <w:right w:val="double" w:sz="4" w:space="0" w:color="70AD47"/>
          </w:tcBorders>
          <w:vAlign w:val="bottom"/>
        </w:tcPr>
        <w:p w14:paraId="71FE7DD3" w14:textId="77777777" w:rsidR="00446695" w:rsidRDefault="00446695" w:rsidP="00446695">
          <w:pPr>
            <w:spacing w:after="4" w:line="259" w:lineRule="auto"/>
            <w:ind w:left="102"/>
          </w:pPr>
          <w:bookmarkStart w:id="8" w:name="_Hlk103868769"/>
          <w:r>
            <w:rPr>
              <w:noProof/>
            </w:rPr>
            <w:drawing>
              <wp:inline distT="0" distB="0" distL="0" distR="0" wp14:anchorId="5EFB9B4D" wp14:editId="7581C996">
                <wp:extent cx="562356" cy="908304"/>
                <wp:effectExtent l="0" t="0" r="0" b="0"/>
                <wp:docPr id="18"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stretch>
                          <a:fillRect/>
                        </a:stretch>
                      </pic:blipFill>
                      <pic:spPr>
                        <a:xfrm>
                          <a:off x="0" y="0"/>
                          <a:ext cx="562356" cy="908304"/>
                        </a:xfrm>
                        <a:prstGeom prst="rect">
                          <a:avLst/>
                        </a:prstGeom>
                      </pic:spPr>
                    </pic:pic>
                  </a:graphicData>
                </a:graphic>
              </wp:inline>
            </w:drawing>
          </w:r>
        </w:p>
        <w:p w14:paraId="4B2E083B" w14:textId="77777777" w:rsidR="00446695" w:rsidRDefault="00446695" w:rsidP="00446695">
          <w:pPr>
            <w:spacing w:after="0" w:line="259" w:lineRule="auto"/>
            <w:ind w:left="72"/>
            <w:jc w:val="center"/>
          </w:pPr>
          <w:r>
            <w:rPr>
              <w:rFonts w:ascii="Arial" w:eastAsia="Arial" w:hAnsi="Arial" w:cs="Arial"/>
              <w:b/>
            </w:rPr>
            <w:t xml:space="preserve"> </w:t>
          </w:r>
        </w:p>
      </w:tc>
      <w:tc>
        <w:tcPr>
          <w:tcW w:w="7085" w:type="dxa"/>
          <w:gridSpan w:val="2"/>
          <w:tcBorders>
            <w:top w:val="double" w:sz="4" w:space="0" w:color="70AD47"/>
            <w:left w:val="double" w:sz="4" w:space="0" w:color="70AD47"/>
            <w:bottom w:val="single" w:sz="2" w:space="0" w:color="F2F2F2"/>
            <w:right w:val="double" w:sz="4" w:space="0" w:color="70AD47"/>
          </w:tcBorders>
          <w:shd w:val="clear" w:color="auto" w:fill="F2F2F2"/>
        </w:tcPr>
        <w:p w14:paraId="3FFE8D96" w14:textId="77777777" w:rsidR="00446695" w:rsidRPr="00446695" w:rsidRDefault="00446695" w:rsidP="00446695">
          <w:pPr>
            <w:spacing w:after="0" w:line="259" w:lineRule="auto"/>
            <w:ind w:left="73"/>
            <w:jc w:val="center"/>
            <w:rPr>
              <w:lang w:val="es-CO"/>
            </w:rPr>
          </w:pPr>
          <w:r w:rsidRPr="00446695">
            <w:rPr>
              <w:rFonts w:ascii="Arial" w:eastAsia="Arial" w:hAnsi="Arial" w:cs="Arial"/>
              <w:b/>
              <w:lang w:val="es-CO"/>
            </w:rPr>
            <w:t xml:space="preserve"> </w:t>
          </w:r>
        </w:p>
        <w:p w14:paraId="238A7847" w14:textId="77777777" w:rsidR="00446695" w:rsidRPr="00446695" w:rsidRDefault="00446695" w:rsidP="00446695">
          <w:pPr>
            <w:spacing w:after="0" w:line="259" w:lineRule="auto"/>
            <w:ind w:left="2895" w:hanging="2660"/>
            <w:rPr>
              <w:lang w:val="es-CO"/>
            </w:rPr>
          </w:pPr>
          <w:r w:rsidRPr="00446695">
            <w:rPr>
              <w:rFonts w:ascii="Arial" w:eastAsia="Arial" w:hAnsi="Arial" w:cs="Arial"/>
              <w:b/>
              <w:lang w:val="es-CO"/>
            </w:rPr>
            <w:t xml:space="preserve">  INFORME DE AUSTERIDAD Y EFICIENCIA DEL GASTO PÚBLICO </w:t>
          </w:r>
        </w:p>
      </w:tc>
      <w:tc>
        <w:tcPr>
          <w:tcW w:w="1553" w:type="dxa"/>
          <w:vMerge w:val="restart"/>
          <w:tcBorders>
            <w:top w:val="double" w:sz="4" w:space="0" w:color="70AD47"/>
            <w:left w:val="double" w:sz="4" w:space="0" w:color="70AD47"/>
            <w:bottom w:val="double" w:sz="4" w:space="0" w:color="70AD47"/>
            <w:right w:val="double" w:sz="4" w:space="0" w:color="70AD47"/>
          </w:tcBorders>
          <w:vAlign w:val="bottom"/>
        </w:tcPr>
        <w:p w14:paraId="12350BE5" w14:textId="77777777" w:rsidR="00446695" w:rsidRDefault="00446695" w:rsidP="00446695">
          <w:pPr>
            <w:spacing w:after="4" w:line="259" w:lineRule="auto"/>
            <w:ind w:left="9"/>
          </w:pPr>
          <w:r>
            <w:rPr>
              <w:noProof/>
            </w:rPr>
            <w:drawing>
              <wp:inline distT="0" distB="0" distL="0" distR="0" wp14:anchorId="0F1F7FEC" wp14:editId="467B4119">
                <wp:extent cx="833628" cy="809244"/>
                <wp:effectExtent l="0" t="0" r="0" b="0"/>
                <wp:docPr id="19"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2"/>
                        <a:stretch>
                          <a:fillRect/>
                        </a:stretch>
                      </pic:blipFill>
                      <pic:spPr>
                        <a:xfrm>
                          <a:off x="0" y="0"/>
                          <a:ext cx="833628" cy="809244"/>
                        </a:xfrm>
                        <a:prstGeom prst="rect">
                          <a:avLst/>
                        </a:prstGeom>
                      </pic:spPr>
                    </pic:pic>
                  </a:graphicData>
                </a:graphic>
              </wp:inline>
            </w:drawing>
          </w:r>
        </w:p>
        <w:p w14:paraId="18160A57" w14:textId="77777777" w:rsidR="00446695" w:rsidRDefault="00446695" w:rsidP="00446695">
          <w:pPr>
            <w:spacing w:after="0" w:line="259" w:lineRule="auto"/>
            <w:ind w:left="4"/>
          </w:pPr>
          <w:r>
            <w:rPr>
              <w:rFonts w:ascii="Arial" w:eastAsia="Arial" w:hAnsi="Arial" w:cs="Arial"/>
              <w:b/>
            </w:rPr>
            <w:t xml:space="preserve"> </w:t>
          </w:r>
        </w:p>
      </w:tc>
    </w:tr>
    <w:tr w:rsidR="00446695" w14:paraId="1ABA3EFA" w14:textId="77777777" w:rsidTr="008C5A16">
      <w:trPr>
        <w:trHeight w:val="560"/>
      </w:trPr>
      <w:tc>
        <w:tcPr>
          <w:tcW w:w="0" w:type="auto"/>
          <w:vMerge/>
          <w:tcBorders>
            <w:top w:val="nil"/>
            <w:left w:val="double" w:sz="4" w:space="0" w:color="70AD47"/>
            <w:bottom w:val="nil"/>
            <w:right w:val="double" w:sz="4" w:space="0" w:color="70AD47"/>
          </w:tcBorders>
        </w:tcPr>
        <w:p w14:paraId="69E27D67" w14:textId="77777777" w:rsidR="00446695" w:rsidRDefault="00446695" w:rsidP="00446695">
          <w:pPr>
            <w:spacing w:after="160" w:line="259" w:lineRule="auto"/>
          </w:pPr>
        </w:p>
      </w:tc>
      <w:tc>
        <w:tcPr>
          <w:tcW w:w="3502" w:type="dxa"/>
          <w:tcBorders>
            <w:top w:val="double" w:sz="4" w:space="0" w:color="9BBB59"/>
            <w:left w:val="double" w:sz="4" w:space="0" w:color="70AD47"/>
            <w:bottom w:val="single" w:sz="9" w:space="0" w:color="F2F2F2"/>
            <w:right w:val="double" w:sz="4" w:space="0" w:color="70AD47"/>
          </w:tcBorders>
          <w:shd w:val="clear" w:color="auto" w:fill="F2F2F2"/>
        </w:tcPr>
        <w:p w14:paraId="30F1C7FD" w14:textId="77777777" w:rsidR="00446695" w:rsidRDefault="00446695" w:rsidP="00446695">
          <w:pPr>
            <w:spacing w:after="0" w:line="259" w:lineRule="auto"/>
            <w:ind w:left="76"/>
            <w:jc w:val="center"/>
          </w:pPr>
          <w:r>
            <w:rPr>
              <w:rFonts w:ascii="Arial" w:eastAsia="Arial" w:hAnsi="Arial" w:cs="Arial"/>
              <w:b/>
            </w:rPr>
            <w:t xml:space="preserve"> </w:t>
          </w:r>
        </w:p>
        <w:p w14:paraId="4691FA25" w14:textId="61D136FE" w:rsidR="00446695" w:rsidRDefault="00446695" w:rsidP="00446695">
          <w:pPr>
            <w:spacing w:after="0" w:line="259" w:lineRule="auto"/>
            <w:ind w:left="8"/>
            <w:jc w:val="center"/>
          </w:pPr>
          <w:proofErr w:type="spellStart"/>
          <w:r>
            <w:t>Periodo</w:t>
          </w:r>
          <w:proofErr w:type="spellEnd"/>
          <w:r>
            <w:t xml:space="preserve">:  </w:t>
          </w:r>
          <w:proofErr w:type="spellStart"/>
          <w:r>
            <w:t>julio</w:t>
          </w:r>
          <w:proofErr w:type="spellEnd"/>
          <w:r>
            <w:t xml:space="preserve"> a </w:t>
          </w:r>
          <w:proofErr w:type="spellStart"/>
          <w:r>
            <w:t>septiembre</w:t>
          </w:r>
          <w:proofErr w:type="spellEnd"/>
        </w:p>
      </w:tc>
      <w:tc>
        <w:tcPr>
          <w:tcW w:w="3583" w:type="dxa"/>
          <w:tcBorders>
            <w:top w:val="single" w:sz="2" w:space="0" w:color="F2F2F2"/>
            <w:left w:val="double" w:sz="4" w:space="0" w:color="70AD47"/>
            <w:bottom w:val="single" w:sz="2" w:space="0" w:color="F2F2F2"/>
            <w:right w:val="double" w:sz="4" w:space="0" w:color="70AD47"/>
          </w:tcBorders>
          <w:shd w:val="clear" w:color="auto" w:fill="F2F2F2"/>
        </w:tcPr>
        <w:p w14:paraId="693630FC" w14:textId="77777777" w:rsidR="00446695" w:rsidRDefault="00446695" w:rsidP="00446695">
          <w:pPr>
            <w:spacing w:after="0" w:line="259" w:lineRule="auto"/>
            <w:ind w:left="71"/>
            <w:jc w:val="center"/>
          </w:pPr>
          <w:r>
            <w:rPr>
              <w:rFonts w:ascii="Arial" w:eastAsia="Arial" w:hAnsi="Arial" w:cs="Arial"/>
              <w:b/>
            </w:rPr>
            <w:t xml:space="preserve"> </w:t>
          </w:r>
        </w:p>
        <w:p w14:paraId="5F0221B1" w14:textId="77777777" w:rsidR="00446695" w:rsidRDefault="00446695" w:rsidP="00446695">
          <w:pPr>
            <w:spacing w:after="0" w:line="259" w:lineRule="auto"/>
          </w:pPr>
          <w:proofErr w:type="spellStart"/>
          <w:r>
            <w:t>Versión</w:t>
          </w:r>
          <w:proofErr w:type="spellEnd"/>
          <w:r>
            <w:t xml:space="preserve">: 01 </w:t>
          </w:r>
        </w:p>
      </w:tc>
      <w:tc>
        <w:tcPr>
          <w:tcW w:w="0" w:type="auto"/>
          <w:vMerge/>
          <w:tcBorders>
            <w:top w:val="nil"/>
            <w:left w:val="double" w:sz="4" w:space="0" w:color="70AD47"/>
            <w:bottom w:val="nil"/>
            <w:right w:val="double" w:sz="4" w:space="0" w:color="70AD47"/>
          </w:tcBorders>
        </w:tcPr>
        <w:p w14:paraId="6FD35D96" w14:textId="77777777" w:rsidR="00446695" w:rsidRDefault="00446695" w:rsidP="00446695">
          <w:pPr>
            <w:spacing w:after="160" w:line="259" w:lineRule="auto"/>
          </w:pPr>
        </w:p>
      </w:tc>
    </w:tr>
    <w:tr w:rsidR="00446695" w14:paraId="25E1B579" w14:textId="77777777" w:rsidTr="008C5A16">
      <w:trPr>
        <w:trHeight w:val="503"/>
      </w:trPr>
      <w:tc>
        <w:tcPr>
          <w:tcW w:w="0" w:type="auto"/>
          <w:vMerge/>
          <w:tcBorders>
            <w:top w:val="nil"/>
            <w:left w:val="double" w:sz="4" w:space="0" w:color="70AD47"/>
            <w:bottom w:val="double" w:sz="4" w:space="0" w:color="70AD47"/>
            <w:right w:val="double" w:sz="4" w:space="0" w:color="70AD47"/>
          </w:tcBorders>
        </w:tcPr>
        <w:p w14:paraId="760EBD7B" w14:textId="77777777" w:rsidR="00446695" w:rsidRDefault="00446695" w:rsidP="00446695">
          <w:pPr>
            <w:spacing w:after="160" w:line="259" w:lineRule="auto"/>
          </w:pPr>
        </w:p>
      </w:tc>
      <w:tc>
        <w:tcPr>
          <w:tcW w:w="3502" w:type="dxa"/>
          <w:tcBorders>
            <w:top w:val="single" w:sz="9" w:space="0" w:color="F2F2F2"/>
            <w:left w:val="double" w:sz="4" w:space="0" w:color="70AD47"/>
            <w:bottom w:val="double" w:sz="4" w:space="0" w:color="70AD47"/>
            <w:right w:val="double" w:sz="4" w:space="0" w:color="70AD47"/>
          </w:tcBorders>
          <w:shd w:val="clear" w:color="auto" w:fill="F2F2F2"/>
        </w:tcPr>
        <w:p w14:paraId="2E880E85" w14:textId="05BF87DB" w:rsidR="00446695" w:rsidRDefault="00446695" w:rsidP="00446695">
          <w:pPr>
            <w:spacing w:after="0" w:line="259" w:lineRule="auto"/>
            <w:ind w:left="6"/>
            <w:jc w:val="center"/>
          </w:pPr>
          <w:proofErr w:type="spellStart"/>
          <w:r>
            <w:t>Aprobado</w:t>
          </w:r>
          <w:proofErr w:type="spellEnd"/>
          <w:r>
            <w:t xml:space="preserve">: </w:t>
          </w:r>
          <w:r>
            <w:t xml:space="preserve"> </w:t>
          </w:r>
          <w:proofErr w:type="spellStart"/>
          <w:r w:rsidR="00075FD6">
            <w:t>octubre</w:t>
          </w:r>
          <w:proofErr w:type="spellEnd"/>
          <w:r w:rsidR="00075FD6">
            <w:t xml:space="preserve"> 20</w:t>
          </w:r>
          <w:r>
            <w:t xml:space="preserve"> </w:t>
          </w:r>
          <w:r>
            <w:t>de 20</w:t>
          </w:r>
          <w:r>
            <w:t>2</w:t>
          </w:r>
          <w:r>
            <w:t>1</w:t>
          </w:r>
          <w:r>
            <w:rPr>
              <w:rFonts w:ascii="Arial" w:eastAsia="Arial" w:hAnsi="Arial" w:cs="Arial"/>
              <w:b/>
            </w:rPr>
            <w:t xml:space="preserve"> </w:t>
          </w:r>
        </w:p>
      </w:tc>
      <w:tc>
        <w:tcPr>
          <w:tcW w:w="3583" w:type="dxa"/>
          <w:tcBorders>
            <w:top w:val="single" w:sz="2" w:space="0" w:color="F2F2F2"/>
            <w:left w:val="double" w:sz="4" w:space="0" w:color="70AD47"/>
            <w:bottom w:val="double" w:sz="4" w:space="0" w:color="70AD47"/>
            <w:right w:val="double" w:sz="4" w:space="0" w:color="70AD47"/>
          </w:tcBorders>
          <w:shd w:val="clear" w:color="auto" w:fill="F2F2F2"/>
          <w:vAlign w:val="center"/>
        </w:tcPr>
        <w:p w14:paraId="34A1E174" w14:textId="13F81747" w:rsidR="00446695" w:rsidRDefault="00446695" w:rsidP="00446695">
          <w:pPr>
            <w:spacing w:after="0" w:line="259" w:lineRule="auto"/>
          </w:pPr>
          <w:proofErr w:type="spellStart"/>
          <w:r>
            <w:t>Página</w:t>
          </w:r>
          <w:proofErr w:type="spellEnd"/>
          <w:r>
            <w:t>: 1 de 1</w:t>
          </w:r>
          <w:r w:rsidR="00401113">
            <w:t>9</w:t>
          </w:r>
        </w:p>
      </w:tc>
      <w:tc>
        <w:tcPr>
          <w:tcW w:w="0" w:type="auto"/>
          <w:vMerge/>
          <w:tcBorders>
            <w:top w:val="nil"/>
            <w:left w:val="double" w:sz="4" w:space="0" w:color="70AD47"/>
            <w:bottom w:val="double" w:sz="4" w:space="0" w:color="70AD47"/>
            <w:right w:val="double" w:sz="4" w:space="0" w:color="70AD47"/>
          </w:tcBorders>
        </w:tcPr>
        <w:p w14:paraId="4152F083" w14:textId="77777777" w:rsidR="00446695" w:rsidRDefault="00446695" w:rsidP="00446695">
          <w:pPr>
            <w:spacing w:after="160" w:line="259" w:lineRule="auto"/>
          </w:pPr>
        </w:p>
      </w:tc>
    </w:tr>
  </w:tbl>
  <w:bookmarkEnd w:id="8"/>
  <w:p w14:paraId="08932AD9" w14:textId="60633F89" w:rsidR="00446695" w:rsidRDefault="00446695" w:rsidP="00075FD6">
    <w:pPr>
      <w:spacing w:line="264" w:lineRule="auto"/>
    </w:pPr>
    <w:r>
      <w:rPr>
        <w:noProof/>
        <w:color w:val="000000"/>
      </w:rPr>
      <mc:AlternateContent>
        <mc:Choice Requires="wps">
          <w:drawing>
            <wp:anchor distT="0" distB="0" distL="114300" distR="114300" simplePos="0" relativeHeight="251659264" behindDoc="0" locked="0" layoutInCell="1" allowOverlap="1" wp14:anchorId="178A2412" wp14:editId="299675F8">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5D09CF"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3CD5"/>
    <w:multiLevelType w:val="hybridMultilevel"/>
    <w:tmpl w:val="95BE3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CA334F"/>
    <w:multiLevelType w:val="hybridMultilevel"/>
    <w:tmpl w:val="20DE2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A54B38"/>
    <w:multiLevelType w:val="multilevel"/>
    <w:tmpl w:val="7EF4E91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BF370F"/>
    <w:multiLevelType w:val="multilevel"/>
    <w:tmpl w:val="7EF4E91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8200392"/>
    <w:multiLevelType w:val="hybridMultilevel"/>
    <w:tmpl w:val="3B628380"/>
    <w:lvl w:ilvl="0" w:tplc="240A0009">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16cid:durableId="1085152380">
    <w:abstractNumId w:val="3"/>
  </w:num>
  <w:num w:numId="2" w16cid:durableId="1936284672">
    <w:abstractNumId w:val="0"/>
  </w:num>
  <w:num w:numId="3" w16cid:durableId="1316840522">
    <w:abstractNumId w:val="1"/>
  </w:num>
  <w:num w:numId="4" w16cid:durableId="1729576037">
    <w:abstractNumId w:val="2"/>
  </w:num>
  <w:num w:numId="5" w16cid:durableId="934094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62"/>
    <w:rsid w:val="00003EAF"/>
    <w:rsid w:val="00017662"/>
    <w:rsid w:val="00052502"/>
    <w:rsid w:val="00075FD6"/>
    <w:rsid w:val="00077FED"/>
    <w:rsid w:val="000A07AB"/>
    <w:rsid w:val="000F3208"/>
    <w:rsid w:val="00102528"/>
    <w:rsid w:val="00135515"/>
    <w:rsid w:val="00142661"/>
    <w:rsid w:val="00220BC1"/>
    <w:rsid w:val="00241188"/>
    <w:rsid w:val="00275632"/>
    <w:rsid w:val="00281AAE"/>
    <w:rsid w:val="002907C7"/>
    <w:rsid w:val="003070AE"/>
    <w:rsid w:val="00310C14"/>
    <w:rsid w:val="00314E9D"/>
    <w:rsid w:val="003237E1"/>
    <w:rsid w:val="0033508C"/>
    <w:rsid w:val="003557A8"/>
    <w:rsid w:val="00366E9C"/>
    <w:rsid w:val="003815F2"/>
    <w:rsid w:val="003A37CB"/>
    <w:rsid w:val="003A4868"/>
    <w:rsid w:val="00401113"/>
    <w:rsid w:val="00406DD8"/>
    <w:rsid w:val="0042548A"/>
    <w:rsid w:val="00442EE2"/>
    <w:rsid w:val="00446695"/>
    <w:rsid w:val="00450F3C"/>
    <w:rsid w:val="00474C0C"/>
    <w:rsid w:val="004E59C8"/>
    <w:rsid w:val="005F7B00"/>
    <w:rsid w:val="0063460C"/>
    <w:rsid w:val="006668AA"/>
    <w:rsid w:val="006E045B"/>
    <w:rsid w:val="006E5480"/>
    <w:rsid w:val="00710B62"/>
    <w:rsid w:val="007D49A8"/>
    <w:rsid w:val="00801FE8"/>
    <w:rsid w:val="00802290"/>
    <w:rsid w:val="00821D67"/>
    <w:rsid w:val="008301C0"/>
    <w:rsid w:val="00835722"/>
    <w:rsid w:val="00890458"/>
    <w:rsid w:val="00896402"/>
    <w:rsid w:val="008B0693"/>
    <w:rsid w:val="008B4544"/>
    <w:rsid w:val="008C7ABB"/>
    <w:rsid w:val="008E280A"/>
    <w:rsid w:val="00932528"/>
    <w:rsid w:val="009346FD"/>
    <w:rsid w:val="009A70A6"/>
    <w:rsid w:val="009C0B49"/>
    <w:rsid w:val="00A44AFB"/>
    <w:rsid w:val="00A60585"/>
    <w:rsid w:val="00AB5BB9"/>
    <w:rsid w:val="00AB770B"/>
    <w:rsid w:val="00AC1460"/>
    <w:rsid w:val="00AD175D"/>
    <w:rsid w:val="00B06D2A"/>
    <w:rsid w:val="00B32E14"/>
    <w:rsid w:val="00BC1882"/>
    <w:rsid w:val="00BC2BD1"/>
    <w:rsid w:val="00C81107"/>
    <w:rsid w:val="00D04827"/>
    <w:rsid w:val="00D426A8"/>
    <w:rsid w:val="00DD3DF3"/>
    <w:rsid w:val="00DE6D07"/>
    <w:rsid w:val="00E10C5A"/>
    <w:rsid w:val="00E264B9"/>
    <w:rsid w:val="00E5477D"/>
    <w:rsid w:val="00E71F1A"/>
    <w:rsid w:val="00EE4238"/>
    <w:rsid w:val="00EF6F47"/>
    <w:rsid w:val="00F26294"/>
    <w:rsid w:val="00F625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91F3"/>
  <w15:chartTrackingRefBased/>
  <w15:docId w15:val="{AEDAB5AF-0EBD-498A-B5D2-D86A1F70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62"/>
    <w:pPr>
      <w:spacing w:after="200" w:line="276" w:lineRule="auto"/>
    </w:pPr>
    <w:rPr>
      <w:rFonts w:eastAsiaTheme="minorEastAsia"/>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07AB"/>
    <w:pPr>
      <w:ind w:left="720"/>
      <w:contextualSpacing/>
    </w:pPr>
  </w:style>
  <w:style w:type="table" w:customStyle="1" w:styleId="Tablaconcuadrcula4-nfasis11">
    <w:name w:val="Tabla con cuadrícula 4 - Énfasis 11"/>
    <w:basedOn w:val="Tablanormal"/>
    <w:next w:val="Tablaconcuadrcula4-nfasis1"/>
    <w:uiPriority w:val="49"/>
    <w:rsid w:val="000A07AB"/>
    <w:pPr>
      <w:widowControl w:val="0"/>
      <w:autoSpaceDE w:val="0"/>
      <w:autoSpaceDN w:val="0"/>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4-nfasis1">
    <w:name w:val="Grid Table 4 Accent 1"/>
    <w:basedOn w:val="Tablanormal"/>
    <w:uiPriority w:val="49"/>
    <w:rsid w:val="000A07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4466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695"/>
    <w:rPr>
      <w:rFonts w:eastAsiaTheme="minorEastAsia"/>
      <w:lang w:val="en-CA" w:eastAsia="en-CA"/>
    </w:rPr>
  </w:style>
  <w:style w:type="paragraph" w:styleId="Piedepgina">
    <w:name w:val="footer"/>
    <w:basedOn w:val="Normal"/>
    <w:link w:val="PiedepginaCar"/>
    <w:uiPriority w:val="99"/>
    <w:unhideWhenUsed/>
    <w:rsid w:val="004466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695"/>
    <w:rPr>
      <w:rFonts w:eastAsiaTheme="minorEastAsia"/>
      <w:lang w:val="en-CA" w:eastAsia="en-CA"/>
    </w:rPr>
  </w:style>
  <w:style w:type="table" w:customStyle="1" w:styleId="TableGrid">
    <w:name w:val="TableGrid"/>
    <w:rsid w:val="00446695"/>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I%20EPA\AUSTERIDAD%20CUADRO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CI%20EPA\AUSTERIDAD%20CUADROS%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CI%20EPA\AUSTERIDAD%20CUADROS%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b8ed73affdb5d0b/Escritorio/CI%20EPA/CUADROS%20AUSTERIDAD%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6b8ed73affdb5d0b/Escritorio/CI%20EPA/CUADROS%20AUSTERIDAD%20202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t>GASTOS DE</a:t>
            </a:r>
            <a:r>
              <a:rPr lang="es-CO" b="1" baseline="0"/>
              <a:t> PERSONAL</a:t>
            </a:r>
          </a:p>
          <a:p>
            <a:pPr>
              <a:defRPr sz="1400" b="0" i="0" u="none" strike="noStrike" kern="1200" spc="0" baseline="0">
                <a:solidFill>
                  <a:schemeClr val="tx1">
                    <a:lumMod val="65000"/>
                    <a:lumOff val="35000"/>
                  </a:schemeClr>
                </a:solidFill>
                <a:latin typeface="+mn-lt"/>
                <a:ea typeface="+mn-ea"/>
                <a:cs typeface="+mn-cs"/>
              </a:defRPr>
            </a:pP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652755905511811"/>
          <c:y val="0.37988480606590841"/>
          <c:w val="0.79027996500437447"/>
          <c:h val="0.5358639545056868"/>
        </c:manualLayout>
      </c:layout>
      <c:barChart>
        <c:barDir val="col"/>
        <c:grouping val="clustered"/>
        <c:varyColors val="0"/>
        <c:ser>
          <c:idx val="0"/>
          <c:order val="0"/>
          <c:tx>
            <c:v>Periodo 2020</c:v>
          </c:tx>
          <c:spPr>
            <a:solidFill>
              <a:schemeClr val="accent1"/>
            </a:solidFill>
            <a:ln>
              <a:noFill/>
            </a:ln>
            <a:effectLst/>
          </c:spPr>
          <c:invertIfNegative val="0"/>
          <c:cat>
            <c:strRef>
              <c:f>Hoja2!$A$39:$A$41</c:f>
              <c:strCache>
                <c:ptCount val="3"/>
                <c:pt idx="0">
                  <c:v>JULIO</c:v>
                </c:pt>
                <c:pt idx="1">
                  <c:v>AGOSTO</c:v>
                </c:pt>
                <c:pt idx="2">
                  <c:v>SEPTIEMBRE</c:v>
                </c:pt>
              </c:strCache>
            </c:strRef>
          </c:cat>
          <c:val>
            <c:numRef>
              <c:f>Hoja2!$B$39:$B$41</c:f>
              <c:numCache>
                <c:formatCode>#,##0\ _€</c:formatCode>
                <c:ptCount val="3"/>
                <c:pt idx="0">
                  <c:v>189481327</c:v>
                </c:pt>
                <c:pt idx="1">
                  <c:v>42069987</c:v>
                </c:pt>
                <c:pt idx="2">
                  <c:v>386856184</c:v>
                </c:pt>
              </c:numCache>
            </c:numRef>
          </c:val>
          <c:extLst>
            <c:ext xmlns:c16="http://schemas.microsoft.com/office/drawing/2014/chart" uri="{C3380CC4-5D6E-409C-BE32-E72D297353CC}">
              <c16:uniqueId val="{00000000-2E95-44C8-81D8-92CC8E247637}"/>
            </c:ext>
          </c:extLst>
        </c:ser>
        <c:ser>
          <c:idx val="1"/>
          <c:order val="1"/>
          <c:tx>
            <c:v>Periodo 2021</c:v>
          </c:tx>
          <c:spPr>
            <a:solidFill>
              <a:schemeClr val="accent2"/>
            </a:solidFill>
            <a:ln>
              <a:noFill/>
            </a:ln>
            <a:effectLst/>
          </c:spPr>
          <c:invertIfNegative val="0"/>
          <c:cat>
            <c:strRef>
              <c:f>Hoja2!$A$39:$A$41</c:f>
              <c:strCache>
                <c:ptCount val="3"/>
                <c:pt idx="0">
                  <c:v>JULIO</c:v>
                </c:pt>
                <c:pt idx="1">
                  <c:v>AGOSTO</c:v>
                </c:pt>
                <c:pt idx="2">
                  <c:v>SEPTIEMBRE</c:v>
                </c:pt>
              </c:strCache>
            </c:strRef>
          </c:cat>
          <c:val>
            <c:numRef>
              <c:f>Hoja2!$C$39:$C$41</c:f>
              <c:numCache>
                <c:formatCode>#,##0;[Red]#,##0</c:formatCode>
                <c:ptCount val="3"/>
                <c:pt idx="0">
                  <c:v>204267722</c:v>
                </c:pt>
                <c:pt idx="1">
                  <c:v>230132875</c:v>
                </c:pt>
                <c:pt idx="2">
                  <c:v>224695235</c:v>
                </c:pt>
              </c:numCache>
            </c:numRef>
          </c:val>
          <c:extLst>
            <c:ext xmlns:c16="http://schemas.microsoft.com/office/drawing/2014/chart" uri="{C3380CC4-5D6E-409C-BE32-E72D297353CC}">
              <c16:uniqueId val="{00000001-2E95-44C8-81D8-92CC8E247637}"/>
            </c:ext>
          </c:extLst>
        </c:ser>
        <c:dLbls>
          <c:showLegendKey val="0"/>
          <c:showVal val="0"/>
          <c:showCatName val="0"/>
          <c:showSerName val="0"/>
          <c:showPercent val="0"/>
          <c:showBubbleSize val="0"/>
        </c:dLbls>
        <c:gapWidth val="219"/>
        <c:overlap val="-27"/>
        <c:axId val="561591888"/>
        <c:axId val="561578576"/>
      </c:barChart>
      <c:catAx>
        <c:axId val="56159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1578576"/>
        <c:crosses val="autoZero"/>
        <c:auto val="1"/>
        <c:lblAlgn val="ctr"/>
        <c:lblOffset val="100"/>
        <c:noMultiLvlLbl val="0"/>
      </c:catAx>
      <c:valAx>
        <c:axId val="561578576"/>
        <c:scaling>
          <c:orientation val="minMax"/>
        </c:scaling>
        <c:delete val="0"/>
        <c:axPos val="l"/>
        <c:majorGridlines>
          <c:spPr>
            <a:ln w="9525" cap="flat" cmpd="sng" algn="ctr">
              <a:solidFill>
                <a:schemeClr val="tx1">
                  <a:lumMod val="15000"/>
                  <a:lumOff val="85000"/>
                </a:schemeClr>
              </a:solidFill>
              <a:round/>
            </a:ln>
            <a:effectLst/>
          </c:spPr>
        </c:majorGridlines>
        <c:numFmt formatCode="#,##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159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GRAFICO COMPARATIVO PRESTACION DE SERVICIOS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v>III Trimestre 2020</c:v>
          </c:tx>
          <c:spPr>
            <a:solidFill>
              <a:schemeClr val="accent1"/>
            </a:solidFill>
            <a:ln>
              <a:noFill/>
            </a:ln>
            <a:effectLst/>
          </c:spPr>
          <c:invertIfNegative val="0"/>
          <c:cat>
            <c:strRef>
              <c:f>Hoja3!$A$28:$A$29</c:f>
              <c:strCache>
                <c:ptCount val="2"/>
                <c:pt idx="0">
                  <c:v>PRESTACION DE SERVICIOS DE INVERSION</c:v>
                </c:pt>
                <c:pt idx="1">
                  <c:v>PRESTACION DE SERVICIOS DE FUNCIONAMIENTO</c:v>
                </c:pt>
              </c:strCache>
            </c:strRef>
          </c:cat>
          <c:val>
            <c:numRef>
              <c:f>Hoja3!$B$28:$B$29</c:f>
              <c:numCache>
                <c:formatCode>#,##0\ _€</c:formatCode>
                <c:ptCount val="2"/>
                <c:pt idx="0">
                  <c:v>71046705</c:v>
                </c:pt>
                <c:pt idx="1">
                  <c:v>106027898</c:v>
                </c:pt>
              </c:numCache>
            </c:numRef>
          </c:val>
          <c:extLst>
            <c:ext xmlns:c16="http://schemas.microsoft.com/office/drawing/2014/chart" uri="{C3380CC4-5D6E-409C-BE32-E72D297353CC}">
              <c16:uniqueId val="{00000000-5F93-40C8-8BE3-98D1978B82A4}"/>
            </c:ext>
          </c:extLst>
        </c:ser>
        <c:ser>
          <c:idx val="1"/>
          <c:order val="1"/>
          <c:tx>
            <c:v>III Trimestre 2021</c:v>
          </c:tx>
          <c:spPr>
            <a:solidFill>
              <a:schemeClr val="accent2"/>
            </a:solidFill>
            <a:ln>
              <a:noFill/>
            </a:ln>
            <a:effectLst/>
          </c:spPr>
          <c:invertIfNegative val="0"/>
          <c:cat>
            <c:strRef>
              <c:f>Hoja3!$A$28:$A$29</c:f>
              <c:strCache>
                <c:ptCount val="2"/>
                <c:pt idx="0">
                  <c:v>PRESTACION DE SERVICIOS DE INVERSION</c:v>
                </c:pt>
                <c:pt idx="1">
                  <c:v>PRESTACION DE SERVICIOS DE FUNCIONAMIENTO</c:v>
                </c:pt>
              </c:strCache>
            </c:strRef>
          </c:cat>
          <c:val>
            <c:numRef>
              <c:f>Hoja3!$C$28:$C$29</c:f>
              <c:numCache>
                <c:formatCode>#,##0;[Red]#,##0</c:formatCode>
                <c:ptCount val="2"/>
                <c:pt idx="0">
                  <c:v>333130977</c:v>
                </c:pt>
                <c:pt idx="1">
                  <c:v>318270353</c:v>
                </c:pt>
              </c:numCache>
            </c:numRef>
          </c:val>
          <c:extLst>
            <c:ext xmlns:c16="http://schemas.microsoft.com/office/drawing/2014/chart" uri="{C3380CC4-5D6E-409C-BE32-E72D297353CC}">
              <c16:uniqueId val="{00000001-5F93-40C8-8BE3-98D1978B82A4}"/>
            </c:ext>
          </c:extLst>
        </c:ser>
        <c:dLbls>
          <c:showLegendKey val="0"/>
          <c:showVal val="0"/>
          <c:showCatName val="0"/>
          <c:showSerName val="0"/>
          <c:showPercent val="0"/>
          <c:showBubbleSize val="0"/>
        </c:dLbls>
        <c:gapWidth val="182"/>
        <c:axId val="2122453424"/>
        <c:axId val="2122453008"/>
      </c:barChart>
      <c:catAx>
        <c:axId val="2122453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22453008"/>
        <c:crosses val="autoZero"/>
        <c:auto val="1"/>
        <c:lblAlgn val="ctr"/>
        <c:lblOffset val="100"/>
        <c:noMultiLvlLbl val="0"/>
      </c:catAx>
      <c:valAx>
        <c:axId val="2122453008"/>
        <c:scaling>
          <c:orientation val="minMax"/>
        </c:scaling>
        <c:delete val="0"/>
        <c:axPos val="b"/>
        <c:majorGridlines>
          <c:spPr>
            <a:ln w="9525" cap="flat" cmpd="sng" algn="ctr">
              <a:solidFill>
                <a:schemeClr val="tx1">
                  <a:lumMod val="15000"/>
                  <a:lumOff val="85000"/>
                </a:schemeClr>
              </a:solidFill>
              <a:round/>
            </a:ln>
            <a:effectLst/>
          </c:spPr>
        </c:majorGridlines>
        <c:numFmt formatCode="#,##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22453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t>Gastos de viaje y viáticos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stacked"/>
        <c:varyColors val="0"/>
        <c:ser>
          <c:idx val="0"/>
          <c:order val="0"/>
          <c:tx>
            <c:v>III Trimestre 2020</c:v>
          </c:tx>
          <c:spPr>
            <a:solidFill>
              <a:schemeClr val="accent1"/>
            </a:solidFill>
            <a:ln>
              <a:noFill/>
            </a:ln>
            <a:effectLst/>
          </c:spPr>
          <c:invertIfNegative val="0"/>
          <c:cat>
            <c:strRef>
              <c:f>Hoja4!$A$27:$A$28</c:f>
              <c:strCache>
                <c:ptCount val="2"/>
                <c:pt idx="0">
                  <c:v>VIATICOS</c:v>
                </c:pt>
                <c:pt idx="1">
                  <c:v>GASTOS DE VIAJE</c:v>
                </c:pt>
              </c:strCache>
            </c:strRef>
          </c:cat>
          <c:val>
            <c:numRef>
              <c:f>Hoja4!$B$27:$B$28</c:f>
              <c:numCache>
                <c:formatCode>#,##0\ _€</c:formatCode>
                <c:ptCount val="2"/>
                <c:pt idx="0">
                  <c:v>516640</c:v>
                </c:pt>
                <c:pt idx="1">
                  <c:v>224000</c:v>
                </c:pt>
              </c:numCache>
            </c:numRef>
          </c:val>
          <c:extLst>
            <c:ext xmlns:c16="http://schemas.microsoft.com/office/drawing/2014/chart" uri="{C3380CC4-5D6E-409C-BE32-E72D297353CC}">
              <c16:uniqueId val="{00000000-ED73-40AC-8A1C-641EDE98ED92}"/>
            </c:ext>
          </c:extLst>
        </c:ser>
        <c:ser>
          <c:idx val="1"/>
          <c:order val="1"/>
          <c:tx>
            <c:v>III Trimestre 2021</c:v>
          </c:tx>
          <c:spPr>
            <a:solidFill>
              <a:schemeClr val="accent2"/>
            </a:solidFill>
            <a:ln>
              <a:noFill/>
            </a:ln>
            <a:effectLst/>
          </c:spPr>
          <c:invertIfNegative val="0"/>
          <c:cat>
            <c:strRef>
              <c:f>Hoja4!$A$27:$A$28</c:f>
              <c:strCache>
                <c:ptCount val="2"/>
                <c:pt idx="0">
                  <c:v>VIATICOS</c:v>
                </c:pt>
                <c:pt idx="1">
                  <c:v>GASTOS DE VIAJE</c:v>
                </c:pt>
              </c:strCache>
            </c:strRef>
          </c:cat>
          <c:val>
            <c:numRef>
              <c:f>Hoja4!$C$27:$C$28</c:f>
              <c:numCache>
                <c:formatCode>#,##0;[Red]#,##0</c:formatCode>
                <c:ptCount val="2"/>
                <c:pt idx="0">
                  <c:v>10044950</c:v>
                </c:pt>
                <c:pt idx="1">
                  <c:v>4260395</c:v>
                </c:pt>
              </c:numCache>
            </c:numRef>
          </c:val>
          <c:extLst>
            <c:ext xmlns:c16="http://schemas.microsoft.com/office/drawing/2014/chart" uri="{C3380CC4-5D6E-409C-BE32-E72D297353CC}">
              <c16:uniqueId val="{00000001-ED73-40AC-8A1C-641EDE98ED92}"/>
            </c:ext>
          </c:extLst>
        </c:ser>
        <c:dLbls>
          <c:showLegendKey val="0"/>
          <c:showVal val="0"/>
          <c:showCatName val="0"/>
          <c:showSerName val="0"/>
          <c:showPercent val="0"/>
          <c:showBubbleSize val="0"/>
        </c:dLbls>
        <c:gapWidth val="150"/>
        <c:overlap val="100"/>
        <c:axId val="493403184"/>
        <c:axId val="493415664"/>
      </c:barChart>
      <c:catAx>
        <c:axId val="49340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3415664"/>
        <c:crosses val="autoZero"/>
        <c:auto val="1"/>
        <c:lblAlgn val="ctr"/>
        <c:lblOffset val="100"/>
        <c:noMultiLvlLbl val="0"/>
      </c:catAx>
      <c:valAx>
        <c:axId val="493415664"/>
        <c:scaling>
          <c:orientation val="minMax"/>
        </c:scaling>
        <c:delete val="0"/>
        <c:axPos val="l"/>
        <c:majorGridlines>
          <c:spPr>
            <a:ln w="9525" cap="flat" cmpd="sng" algn="ctr">
              <a:solidFill>
                <a:schemeClr val="tx1">
                  <a:lumMod val="15000"/>
                  <a:lumOff val="85000"/>
                </a:schemeClr>
              </a:solidFill>
              <a:round/>
            </a:ln>
            <a:effectLst/>
          </c:spPr>
        </c:majorGridlines>
        <c:numFmt formatCode="#,##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340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Gastos Administrativos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20972003499562555"/>
          <c:y val="0.21874198016914553"/>
          <c:w val="0.79027996500437447"/>
          <c:h val="0.36399387576552933"/>
        </c:manualLayout>
      </c:layout>
      <c:barChart>
        <c:barDir val="col"/>
        <c:grouping val="clustered"/>
        <c:varyColors val="0"/>
        <c:ser>
          <c:idx val="0"/>
          <c:order val="0"/>
          <c:tx>
            <c:v>III Trimestre 2020</c:v>
          </c:tx>
          <c:spPr>
            <a:solidFill>
              <a:schemeClr val="accent1"/>
            </a:solidFill>
            <a:ln>
              <a:noFill/>
            </a:ln>
            <a:effectLst/>
          </c:spPr>
          <c:invertIfNegative val="0"/>
          <c:cat>
            <c:strRef>
              <c:f>'[CUADROS AUSTERIDAD 2021.xlsx]Hoja5'!$A$31:$A$38</c:f>
              <c:strCache>
                <c:ptCount val="8"/>
                <c:pt idx="0">
                  <c:v>COMPRA DE EQUIPO</c:v>
                </c:pt>
                <c:pt idx="1">
                  <c:v>MATERIALES Y SUMINISTROS</c:v>
                </c:pt>
                <c:pt idx="2">
                  <c:v>ENERGIA</c:v>
                </c:pt>
                <c:pt idx="3">
                  <c:v>TELÉFONO</c:v>
                </c:pt>
                <c:pt idx="4">
                  <c:v>INTERNET</c:v>
                </c:pt>
                <c:pt idx="5">
                  <c:v>GASTOS FINANCIEROS</c:v>
                </c:pt>
                <c:pt idx="6">
                  <c:v>ARRENDAMIENTO VEHICULO</c:v>
                </c:pt>
                <c:pt idx="7">
                  <c:v>ARRENDAMIENTO</c:v>
                </c:pt>
              </c:strCache>
            </c:strRef>
          </c:cat>
          <c:val>
            <c:numRef>
              <c:f>'[CUADROS AUSTERIDAD 2021.xlsx]Hoja5'!$B$31:$B$38</c:f>
              <c:numCache>
                <c:formatCode>#,##0\ _€</c:formatCode>
                <c:ptCount val="8"/>
                <c:pt idx="0">
                  <c:v>0</c:v>
                </c:pt>
                <c:pt idx="1">
                  <c:v>15882536</c:v>
                </c:pt>
                <c:pt idx="2">
                  <c:v>2371670</c:v>
                </c:pt>
                <c:pt idx="3">
                  <c:v>4500973</c:v>
                </c:pt>
                <c:pt idx="4">
                  <c:v>6242970</c:v>
                </c:pt>
                <c:pt idx="5">
                  <c:v>1452341</c:v>
                </c:pt>
                <c:pt idx="6">
                  <c:v>7727460</c:v>
                </c:pt>
                <c:pt idx="7">
                  <c:v>1200000</c:v>
                </c:pt>
              </c:numCache>
            </c:numRef>
          </c:val>
          <c:extLst>
            <c:ext xmlns:c16="http://schemas.microsoft.com/office/drawing/2014/chart" uri="{C3380CC4-5D6E-409C-BE32-E72D297353CC}">
              <c16:uniqueId val="{00000000-3349-42E6-86DB-A9E0D9BCBEFB}"/>
            </c:ext>
          </c:extLst>
        </c:ser>
        <c:ser>
          <c:idx val="1"/>
          <c:order val="1"/>
          <c:tx>
            <c:v>III Trimestre 2021</c:v>
          </c:tx>
          <c:spPr>
            <a:solidFill>
              <a:schemeClr val="accent2"/>
            </a:solidFill>
            <a:ln>
              <a:noFill/>
            </a:ln>
            <a:effectLst/>
          </c:spPr>
          <c:invertIfNegative val="0"/>
          <c:cat>
            <c:strRef>
              <c:f>'[CUADROS AUSTERIDAD 2021.xlsx]Hoja5'!$A$31:$A$38</c:f>
              <c:strCache>
                <c:ptCount val="8"/>
                <c:pt idx="0">
                  <c:v>COMPRA DE EQUIPO</c:v>
                </c:pt>
                <c:pt idx="1">
                  <c:v>MATERIALES Y SUMINISTROS</c:v>
                </c:pt>
                <c:pt idx="2">
                  <c:v>ENERGIA</c:v>
                </c:pt>
                <c:pt idx="3">
                  <c:v>TELÉFONO</c:v>
                </c:pt>
                <c:pt idx="4">
                  <c:v>INTERNET</c:v>
                </c:pt>
                <c:pt idx="5">
                  <c:v>GASTOS FINANCIEROS</c:v>
                </c:pt>
                <c:pt idx="6">
                  <c:v>ARRENDAMIENTO VEHICULO</c:v>
                </c:pt>
                <c:pt idx="7">
                  <c:v>ARRENDAMIENTO</c:v>
                </c:pt>
              </c:strCache>
            </c:strRef>
          </c:cat>
          <c:val>
            <c:numRef>
              <c:f>'[CUADROS AUSTERIDAD 2021.xlsx]Hoja5'!$C$31:$C$38</c:f>
              <c:numCache>
                <c:formatCode>#,##0;[Red]#,##0</c:formatCode>
                <c:ptCount val="8"/>
                <c:pt idx="0">
                  <c:v>5538800</c:v>
                </c:pt>
                <c:pt idx="1">
                  <c:v>73381685</c:v>
                </c:pt>
                <c:pt idx="2">
                  <c:v>6802790</c:v>
                </c:pt>
                <c:pt idx="3">
                  <c:v>2921465</c:v>
                </c:pt>
                <c:pt idx="4">
                  <c:v>6000782</c:v>
                </c:pt>
                <c:pt idx="5">
                  <c:v>3226338</c:v>
                </c:pt>
                <c:pt idx="6">
                  <c:v>12420000</c:v>
                </c:pt>
                <c:pt idx="7">
                  <c:v>71679000</c:v>
                </c:pt>
              </c:numCache>
            </c:numRef>
          </c:val>
          <c:extLst>
            <c:ext xmlns:c16="http://schemas.microsoft.com/office/drawing/2014/chart" uri="{C3380CC4-5D6E-409C-BE32-E72D297353CC}">
              <c16:uniqueId val="{00000001-3349-42E6-86DB-A9E0D9BCBEFB}"/>
            </c:ext>
          </c:extLst>
        </c:ser>
        <c:dLbls>
          <c:showLegendKey val="0"/>
          <c:showVal val="0"/>
          <c:showCatName val="0"/>
          <c:showSerName val="0"/>
          <c:showPercent val="0"/>
          <c:showBubbleSize val="0"/>
        </c:dLbls>
        <c:gapWidth val="219"/>
        <c:overlap val="-27"/>
        <c:axId val="482904288"/>
        <c:axId val="482903456"/>
      </c:barChart>
      <c:catAx>
        <c:axId val="48290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2903456"/>
        <c:crosses val="autoZero"/>
        <c:auto val="1"/>
        <c:lblAlgn val="ctr"/>
        <c:lblOffset val="100"/>
        <c:noMultiLvlLbl val="0"/>
      </c:catAx>
      <c:valAx>
        <c:axId val="482903456"/>
        <c:scaling>
          <c:orientation val="minMax"/>
        </c:scaling>
        <c:delete val="0"/>
        <c:axPos val="l"/>
        <c:majorGridlines>
          <c:spPr>
            <a:ln w="9525" cap="flat" cmpd="sng" algn="ctr">
              <a:solidFill>
                <a:schemeClr val="tx1">
                  <a:lumMod val="15000"/>
                  <a:lumOff val="85000"/>
                </a:schemeClr>
              </a:solidFill>
              <a:round/>
            </a:ln>
            <a:effectLst/>
          </c:spPr>
        </c:majorGridlines>
        <c:numFmt formatCode="#,##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2904288"/>
        <c:crosses val="autoZero"/>
        <c:crossBetween val="between"/>
      </c:valAx>
      <c:spPr>
        <a:noFill/>
        <a:ln>
          <a:noFill/>
        </a:ln>
        <a:effectLst/>
      </c:spPr>
    </c:plotArea>
    <c:legend>
      <c:legendPos val="b"/>
      <c:layout>
        <c:manualLayout>
          <c:xMode val="edge"/>
          <c:yMode val="edge"/>
          <c:x val="0.24348263656585412"/>
          <c:y val="0.9074067593402676"/>
          <c:w val="0.51884422943864039"/>
          <c:h val="9.25932406597323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SERVICIOS</a:t>
            </a:r>
            <a:r>
              <a:rPr lang="es-CO" baseline="0"/>
              <a:t> PÚBLICOS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v>III Trimestre 2020</c:v>
          </c:tx>
          <c:spPr>
            <a:solidFill>
              <a:schemeClr val="accent1"/>
            </a:solidFill>
            <a:ln>
              <a:noFill/>
            </a:ln>
            <a:effectLst/>
          </c:spPr>
          <c:invertIfNegative val="0"/>
          <c:cat>
            <c:strRef>
              <c:f>'[CUADROS AUSTERIDAD 2021.xlsx]Hoja5'!$A$114:$A$116</c:f>
              <c:strCache>
                <c:ptCount val="3"/>
                <c:pt idx="0">
                  <c:v>ENERGIA</c:v>
                </c:pt>
                <c:pt idx="1">
                  <c:v>TELÉFONO</c:v>
                </c:pt>
                <c:pt idx="2">
                  <c:v>INTERNET</c:v>
                </c:pt>
              </c:strCache>
            </c:strRef>
          </c:cat>
          <c:val>
            <c:numRef>
              <c:f>'[CUADROS AUSTERIDAD 2021.xlsx]Hoja5'!$B$114:$B$116</c:f>
              <c:numCache>
                <c:formatCode>#,##0\ _€</c:formatCode>
                <c:ptCount val="3"/>
                <c:pt idx="0">
                  <c:v>2371670</c:v>
                </c:pt>
                <c:pt idx="1">
                  <c:v>4500973</c:v>
                </c:pt>
                <c:pt idx="2">
                  <c:v>6242970</c:v>
                </c:pt>
              </c:numCache>
            </c:numRef>
          </c:val>
          <c:extLst>
            <c:ext xmlns:c16="http://schemas.microsoft.com/office/drawing/2014/chart" uri="{C3380CC4-5D6E-409C-BE32-E72D297353CC}">
              <c16:uniqueId val="{00000000-C5EB-4EE2-B9EE-6F9F921DF018}"/>
            </c:ext>
          </c:extLst>
        </c:ser>
        <c:ser>
          <c:idx val="1"/>
          <c:order val="1"/>
          <c:tx>
            <c:v>III Trimestre 2021</c:v>
          </c:tx>
          <c:spPr>
            <a:solidFill>
              <a:schemeClr val="accent2"/>
            </a:solidFill>
            <a:ln>
              <a:noFill/>
            </a:ln>
            <a:effectLst/>
          </c:spPr>
          <c:invertIfNegative val="0"/>
          <c:cat>
            <c:strRef>
              <c:f>'[CUADROS AUSTERIDAD 2021.xlsx]Hoja5'!$A$114:$A$116</c:f>
              <c:strCache>
                <c:ptCount val="3"/>
                <c:pt idx="0">
                  <c:v>ENERGIA</c:v>
                </c:pt>
                <c:pt idx="1">
                  <c:v>TELÉFONO</c:v>
                </c:pt>
                <c:pt idx="2">
                  <c:v>INTERNET</c:v>
                </c:pt>
              </c:strCache>
            </c:strRef>
          </c:cat>
          <c:val>
            <c:numRef>
              <c:f>'[CUADROS AUSTERIDAD 2021.xlsx]Hoja5'!$C$114:$C$116</c:f>
              <c:numCache>
                <c:formatCode>#,##0;[Red]#,##0</c:formatCode>
                <c:ptCount val="3"/>
                <c:pt idx="0">
                  <c:v>6802790</c:v>
                </c:pt>
                <c:pt idx="1">
                  <c:v>2921465</c:v>
                </c:pt>
                <c:pt idx="2">
                  <c:v>6000782</c:v>
                </c:pt>
              </c:numCache>
            </c:numRef>
          </c:val>
          <c:extLst>
            <c:ext xmlns:c16="http://schemas.microsoft.com/office/drawing/2014/chart" uri="{C3380CC4-5D6E-409C-BE32-E72D297353CC}">
              <c16:uniqueId val="{00000001-C5EB-4EE2-B9EE-6F9F921DF018}"/>
            </c:ext>
          </c:extLst>
        </c:ser>
        <c:dLbls>
          <c:showLegendKey val="0"/>
          <c:showVal val="0"/>
          <c:showCatName val="0"/>
          <c:showSerName val="0"/>
          <c:showPercent val="0"/>
          <c:showBubbleSize val="0"/>
        </c:dLbls>
        <c:gapWidth val="219"/>
        <c:overlap val="-27"/>
        <c:axId val="1798576688"/>
        <c:axId val="1798575024"/>
      </c:barChart>
      <c:catAx>
        <c:axId val="179857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98575024"/>
        <c:crosses val="autoZero"/>
        <c:auto val="1"/>
        <c:lblAlgn val="ctr"/>
        <c:lblOffset val="100"/>
        <c:noMultiLvlLbl val="0"/>
      </c:catAx>
      <c:valAx>
        <c:axId val="1798575024"/>
        <c:scaling>
          <c:orientation val="minMax"/>
        </c:scaling>
        <c:delete val="0"/>
        <c:axPos val="l"/>
        <c:majorGridlines>
          <c:spPr>
            <a:ln w="9525" cap="flat" cmpd="sng" algn="ctr">
              <a:solidFill>
                <a:schemeClr val="tx1">
                  <a:lumMod val="15000"/>
                  <a:lumOff val="85000"/>
                </a:schemeClr>
              </a:solidFill>
              <a:round/>
            </a:ln>
            <a:effectLst/>
          </c:spPr>
        </c:majorGridlines>
        <c:numFmt formatCode="#,##0\ 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9857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19</Pages>
  <Words>2750</Words>
  <Characters>15129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Luz Amelia Cortés Panchano</cp:lastModifiedBy>
  <cp:revision>29</cp:revision>
  <dcterms:created xsi:type="dcterms:W3CDTF">2022-03-15T03:10:00Z</dcterms:created>
  <dcterms:modified xsi:type="dcterms:W3CDTF">2022-05-19T22:29:00Z</dcterms:modified>
</cp:coreProperties>
</file>